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3199" w14:textId="559380E3" w:rsidR="007C685E" w:rsidRDefault="007C685E" w:rsidP="006C12C0">
      <w:pPr>
        <w:jc w:val="center"/>
        <w:rPr>
          <w:rFonts w:eastAsiaTheme="majorEastAsia" w:cs="Arial"/>
          <w:b/>
          <w:color w:val="FFD006"/>
          <w:sz w:val="72"/>
          <w:szCs w:val="72"/>
          <w:u w:val="single" w:color="FFD006"/>
          <w:lang w:eastAsia="ja-JP"/>
        </w:rPr>
      </w:pPr>
    </w:p>
    <w:p w14:paraId="5C110C59" w14:textId="77777777" w:rsidR="007C685E" w:rsidRDefault="007C685E" w:rsidP="006C12C0">
      <w:pPr>
        <w:jc w:val="center"/>
        <w:rPr>
          <w:rFonts w:eastAsiaTheme="majorEastAsia" w:cs="Arial"/>
          <w:b/>
          <w:color w:val="FFD006"/>
          <w:sz w:val="72"/>
          <w:szCs w:val="72"/>
          <w:u w:val="single" w:color="FFD006"/>
          <w:lang w:eastAsia="ja-JP"/>
        </w:rPr>
      </w:pPr>
    </w:p>
    <w:p w14:paraId="2E47F3DE" w14:textId="0B0337A5" w:rsidR="007C685E" w:rsidRPr="00EA743B" w:rsidRDefault="007C685E" w:rsidP="006C12C0">
      <w:pPr>
        <w:jc w:val="center"/>
        <w:rPr>
          <w:rFonts w:eastAsiaTheme="majorEastAsia" w:cs="Arial"/>
          <w:b/>
          <w:color w:val="FF6900"/>
          <w:sz w:val="72"/>
          <w:szCs w:val="72"/>
          <w:u w:val="single" w:color="FFD006"/>
          <w:lang w:eastAsia="ja-JP"/>
        </w:rPr>
      </w:pPr>
    </w:p>
    <w:p w14:paraId="461425E4" w14:textId="77777777" w:rsidR="005C2C4E" w:rsidRDefault="005C2C4E" w:rsidP="006C12C0">
      <w:pPr>
        <w:jc w:val="center"/>
        <w:rPr>
          <w:rFonts w:eastAsiaTheme="majorEastAsia" w:cs="Arial"/>
          <w:color w:val="000000" w:themeColor="text1"/>
          <w:sz w:val="72"/>
          <w:szCs w:val="80"/>
          <w:lang w:val="en-US" w:eastAsia="ja-JP"/>
        </w:rPr>
      </w:pPr>
    </w:p>
    <w:p w14:paraId="64730BD0" w14:textId="0DFE6B2E"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63455D39" w14:textId="6684E3BD" w:rsidR="00DD65B4" w:rsidRDefault="00DD65B4" w:rsidP="00BF3F57">
      <w:pPr>
        <w:rPr>
          <w:b/>
          <w:bCs/>
          <w:sz w:val="32"/>
          <w:szCs w:val="32"/>
        </w:rPr>
      </w:pPr>
    </w:p>
    <w:p w14:paraId="1321B51C" w14:textId="0F2DB8C9" w:rsidR="00DD65B4" w:rsidRDefault="00DD65B4" w:rsidP="00BF3F57">
      <w:pPr>
        <w:rPr>
          <w:b/>
          <w:bCs/>
          <w:sz w:val="32"/>
          <w:szCs w:val="32"/>
        </w:rPr>
      </w:pPr>
    </w:p>
    <w:p w14:paraId="6816A0AD" w14:textId="471F0CC0" w:rsidR="00DD65B4" w:rsidRDefault="00DD65B4" w:rsidP="00BF3F57">
      <w:pPr>
        <w:rPr>
          <w:b/>
          <w:bCs/>
          <w:sz w:val="32"/>
          <w:szCs w:val="32"/>
        </w:rPr>
      </w:pPr>
    </w:p>
    <w:p w14:paraId="0D38FDEA" w14:textId="5E71BD84" w:rsidR="00DD65B4" w:rsidRDefault="00DD65B4" w:rsidP="00BF3F57">
      <w:pPr>
        <w:rPr>
          <w:b/>
          <w:bCs/>
          <w:sz w:val="32"/>
          <w:szCs w:val="32"/>
        </w:rPr>
      </w:pPr>
    </w:p>
    <w:p w14:paraId="4C80640B" w14:textId="748AD3D5" w:rsidR="00DD65B4" w:rsidRDefault="00DD65B4" w:rsidP="00BF3F57">
      <w:pPr>
        <w:rPr>
          <w:b/>
          <w:bCs/>
          <w:sz w:val="32"/>
          <w:szCs w:val="32"/>
        </w:rPr>
      </w:pPr>
    </w:p>
    <w:p w14:paraId="0CED8A6B" w14:textId="0FE3DE0D" w:rsidR="00DD65B4" w:rsidRDefault="00DD65B4" w:rsidP="00BF3F57">
      <w:pPr>
        <w:rPr>
          <w:b/>
          <w:bCs/>
          <w:sz w:val="32"/>
          <w:szCs w:val="32"/>
        </w:rPr>
      </w:pPr>
    </w:p>
    <w:p w14:paraId="33CA4E86" w14:textId="73332E30" w:rsidR="00DD65B4" w:rsidRDefault="00DD65B4" w:rsidP="00BF3F57">
      <w:pPr>
        <w:rPr>
          <w:b/>
          <w:bCs/>
          <w:sz w:val="32"/>
          <w:szCs w:val="32"/>
        </w:rPr>
      </w:pPr>
    </w:p>
    <w:p w14:paraId="0D7FDA88" w14:textId="7CEF46E1" w:rsidR="00DD65B4" w:rsidRDefault="00DD65B4" w:rsidP="00BF3F57">
      <w:pPr>
        <w:rPr>
          <w:b/>
          <w:bCs/>
          <w:sz w:val="32"/>
          <w:szCs w:val="32"/>
        </w:rPr>
      </w:pPr>
    </w:p>
    <w:p w14:paraId="027F1DC7" w14:textId="77777777" w:rsidR="00DD65B4" w:rsidRDefault="00DD65B4" w:rsidP="00BF3F57">
      <w:pPr>
        <w:rPr>
          <w:b/>
          <w:bCs/>
          <w:sz w:val="32"/>
          <w:szCs w:val="32"/>
        </w:rPr>
      </w:pPr>
    </w:p>
    <w:p w14:paraId="2A22F6EB" w14:textId="1A676985" w:rsidR="00DD65B4" w:rsidRDefault="00DD65B4" w:rsidP="00BF3F57">
      <w:pPr>
        <w:rPr>
          <w:b/>
          <w:bCs/>
          <w:sz w:val="32"/>
          <w:szCs w:val="32"/>
        </w:rPr>
      </w:pPr>
    </w:p>
    <w:p w14:paraId="0C47C61F" w14:textId="38884C95" w:rsidR="00DD65B4" w:rsidRDefault="00DD65B4" w:rsidP="00BF3F57">
      <w:pPr>
        <w:rPr>
          <w:b/>
          <w:bCs/>
          <w:sz w:val="32"/>
          <w:szCs w:val="32"/>
        </w:rPr>
      </w:pPr>
    </w:p>
    <w:p w14:paraId="5FEEC83E" w14:textId="77777777" w:rsidR="00DD65B4" w:rsidRDefault="00DD65B4" w:rsidP="00BF3F57">
      <w:pPr>
        <w:rPr>
          <w:b/>
          <w:bCs/>
          <w:sz w:val="32"/>
          <w:szCs w:val="32"/>
        </w:rPr>
      </w:pPr>
    </w:p>
    <w:p w14:paraId="4B9967C1" w14:textId="77777777" w:rsidR="00521F41" w:rsidRDefault="00521F41" w:rsidP="00521F41">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521F41" w14:paraId="3F40F0C7" w14:textId="77777777" w:rsidTr="000977E1">
        <w:tc>
          <w:tcPr>
            <w:tcW w:w="2405" w:type="dxa"/>
            <w:shd w:val="clear" w:color="auto" w:fill="D9D9D9" w:themeFill="background1" w:themeFillShade="D9"/>
            <w:vAlign w:val="center"/>
          </w:tcPr>
          <w:p w14:paraId="572E2723" w14:textId="77777777" w:rsidR="00521F41" w:rsidRPr="00EA2BC3" w:rsidRDefault="00521F41" w:rsidP="000977E1">
            <w:pPr>
              <w:rPr>
                <w:b/>
                <w:bCs/>
              </w:rPr>
            </w:pPr>
            <w:r w:rsidRPr="00EA2BC3">
              <w:rPr>
                <w:b/>
                <w:bCs/>
              </w:rPr>
              <w:t>This document has been approved for operation within:</w:t>
            </w:r>
          </w:p>
        </w:tc>
        <w:tc>
          <w:tcPr>
            <w:tcW w:w="6611" w:type="dxa"/>
            <w:gridSpan w:val="3"/>
            <w:vAlign w:val="center"/>
          </w:tcPr>
          <w:p w14:paraId="20A04342" w14:textId="77777777" w:rsidR="00521F41" w:rsidRPr="00EA2BC3" w:rsidRDefault="00521F41" w:rsidP="000977E1">
            <w:r>
              <w:t>The Pennine Trust</w:t>
            </w:r>
          </w:p>
        </w:tc>
      </w:tr>
      <w:tr w:rsidR="00521F41" w14:paraId="2C963A27" w14:textId="77777777" w:rsidTr="000977E1">
        <w:trPr>
          <w:trHeight w:val="567"/>
        </w:trPr>
        <w:tc>
          <w:tcPr>
            <w:tcW w:w="2405" w:type="dxa"/>
            <w:shd w:val="clear" w:color="auto" w:fill="D9D9D9" w:themeFill="background1" w:themeFillShade="D9"/>
            <w:vAlign w:val="center"/>
          </w:tcPr>
          <w:p w14:paraId="3961C5CE" w14:textId="77777777" w:rsidR="00521F41" w:rsidRPr="00EA2BC3" w:rsidRDefault="00521F41" w:rsidP="000977E1">
            <w:pPr>
              <w:rPr>
                <w:b/>
                <w:bCs/>
              </w:rPr>
            </w:pPr>
            <w:r w:rsidRPr="00EA2BC3">
              <w:rPr>
                <w:b/>
                <w:bCs/>
              </w:rPr>
              <w:t>Status</w:t>
            </w:r>
          </w:p>
        </w:tc>
        <w:tc>
          <w:tcPr>
            <w:tcW w:w="6611" w:type="dxa"/>
            <w:gridSpan w:val="3"/>
            <w:vAlign w:val="center"/>
          </w:tcPr>
          <w:p w14:paraId="76EE3C8F" w14:textId="77777777" w:rsidR="00521F41" w:rsidRPr="00EA2BC3" w:rsidRDefault="00521F41" w:rsidP="000977E1">
            <w:r>
              <w:t>Mandatory</w:t>
            </w:r>
          </w:p>
        </w:tc>
      </w:tr>
      <w:tr w:rsidR="00521F41" w14:paraId="42F64041" w14:textId="77777777" w:rsidTr="000977E1">
        <w:trPr>
          <w:trHeight w:val="567"/>
        </w:trPr>
        <w:tc>
          <w:tcPr>
            <w:tcW w:w="2405" w:type="dxa"/>
            <w:shd w:val="clear" w:color="auto" w:fill="D9D9D9" w:themeFill="background1" w:themeFillShade="D9"/>
            <w:vAlign w:val="center"/>
          </w:tcPr>
          <w:p w14:paraId="1A41BBEB" w14:textId="77777777" w:rsidR="00521F41" w:rsidRPr="00EA2BC3" w:rsidRDefault="00521F41" w:rsidP="000977E1">
            <w:pPr>
              <w:rPr>
                <w:b/>
                <w:bCs/>
              </w:rPr>
            </w:pPr>
            <w:r w:rsidRPr="00EA2BC3">
              <w:rPr>
                <w:b/>
                <w:bCs/>
              </w:rPr>
              <w:t>Owner</w:t>
            </w:r>
          </w:p>
        </w:tc>
        <w:tc>
          <w:tcPr>
            <w:tcW w:w="6611" w:type="dxa"/>
            <w:gridSpan w:val="3"/>
            <w:vAlign w:val="center"/>
          </w:tcPr>
          <w:p w14:paraId="66D2E05D" w14:textId="77777777" w:rsidR="00521F41" w:rsidRPr="00EA2BC3" w:rsidRDefault="00521F41" w:rsidP="000977E1">
            <w:r>
              <w:t>The Pennine Trust</w:t>
            </w:r>
          </w:p>
        </w:tc>
      </w:tr>
      <w:tr w:rsidR="00521F41" w14:paraId="637E35A2" w14:textId="77777777" w:rsidTr="000977E1">
        <w:trPr>
          <w:trHeight w:val="567"/>
        </w:trPr>
        <w:tc>
          <w:tcPr>
            <w:tcW w:w="2405" w:type="dxa"/>
            <w:shd w:val="clear" w:color="auto" w:fill="D9D9D9" w:themeFill="background1" w:themeFillShade="D9"/>
            <w:vAlign w:val="center"/>
          </w:tcPr>
          <w:p w14:paraId="7C0BC9BD" w14:textId="77777777" w:rsidR="00521F41" w:rsidRPr="00EA2BC3" w:rsidRDefault="00521F41" w:rsidP="000977E1">
            <w:pPr>
              <w:rPr>
                <w:b/>
                <w:bCs/>
              </w:rPr>
            </w:pPr>
            <w:r w:rsidRPr="00EA2BC3">
              <w:rPr>
                <w:b/>
                <w:bCs/>
              </w:rPr>
              <w:t>Date effective from</w:t>
            </w:r>
          </w:p>
        </w:tc>
        <w:tc>
          <w:tcPr>
            <w:tcW w:w="2203" w:type="dxa"/>
            <w:vAlign w:val="center"/>
          </w:tcPr>
          <w:p w14:paraId="6B47467A" w14:textId="4D37219A" w:rsidR="00521F41" w:rsidRPr="00EA2BC3" w:rsidRDefault="00521F41" w:rsidP="000977E1">
            <w:r>
              <w:t>December 2021</w:t>
            </w:r>
          </w:p>
        </w:tc>
        <w:tc>
          <w:tcPr>
            <w:tcW w:w="2204" w:type="dxa"/>
            <w:shd w:val="clear" w:color="auto" w:fill="D9D9D9" w:themeFill="background1" w:themeFillShade="D9"/>
            <w:vAlign w:val="center"/>
          </w:tcPr>
          <w:p w14:paraId="2867A90A" w14:textId="77777777" w:rsidR="00521F41" w:rsidRPr="00EA2BC3" w:rsidRDefault="00521F41" w:rsidP="000977E1">
            <w:pPr>
              <w:rPr>
                <w:b/>
                <w:bCs/>
              </w:rPr>
            </w:pPr>
            <w:r w:rsidRPr="00EA2BC3">
              <w:rPr>
                <w:b/>
                <w:bCs/>
              </w:rPr>
              <w:t>Date of next review</w:t>
            </w:r>
          </w:p>
        </w:tc>
        <w:tc>
          <w:tcPr>
            <w:tcW w:w="2204" w:type="dxa"/>
            <w:vAlign w:val="center"/>
          </w:tcPr>
          <w:p w14:paraId="2BCC9BB5" w14:textId="234ABFBE" w:rsidR="00521F41" w:rsidRPr="00EA2BC3" w:rsidRDefault="00521F41" w:rsidP="000977E1">
            <w:r>
              <w:t>November 2023</w:t>
            </w:r>
          </w:p>
        </w:tc>
      </w:tr>
      <w:tr w:rsidR="00521F41" w14:paraId="18D4AA66" w14:textId="77777777" w:rsidTr="000977E1">
        <w:trPr>
          <w:trHeight w:val="567"/>
        </w:trPr>
        <w:tc>
          <w:tcPr>
            <w:tcW w:w="2405" w:type="dxa"/>
            <w:shd w:val="clear" w:color="auto" w:fill="D9D9D9" w:themeFill="background1" w:themeFillShade="D9"/>
            <w:vAlign w:val="center"/>
          </w:tcPr>
          <w:p w14:paraId="7BDC819B" w14:textId="77777777" w:rsidR="00521F41" w:rsidRPr="00EA2BC3" w:rsidRDefault="00521F41" w:rsidP="000977E1">
            <w:pPr>
              <w:rPr>
                <w:b/>
                <w:bCs/>
              </w:rPr>
            </w:pPr>
            <w:r w:rsidRPr="00EA2BC3">
              <w:rPr>
                <w:b/>
                <w:bCs/>
              </w:rPr>
              <w:t>Review period</w:t>
            </w:r>
          </w:p>
        </w:tc>
        <w:tc>
          <w:tcPr>
            <w:tcW w:w="2203" w:type="dxa"/>
            <w:vAlign w:val="center"/>
          </w:tcPr>
          <w:p w14:paraId="55651DE1" w14:textId="431D9103" w:rsidR="00521F41" w:rsidRPr="00EA2BC3" w:rsidRDefault="00B338FD" w:rsidP="000977E1">
            <w:r>
              <w:t>Two yearly</w:t>
            </w:r>
          </w:p>
        </w:tc>
        <w:tc>
          <w:tcPr>
            <w:tcW w:w="2204" w:type="dxa"/>
            <w:shd w:val="clear" w:color="auto" w:fill="D9D9D9" w:themeFill="background1" w:themeFillShade="D9"/>
            <w:vAlign w:val="center"/>
          </w:tcPr>
          <w:p w14:paraId="23382345" w14:textId="77777777" w:rsidR="00521F41" w:rsidRPr="00EA2BC3" w:rsidRDefault="00521F41" w:rsidP="000977E1">
            <w:pPr>
              <w:rPr>
                <w:b/>
                <w:bCs/>
              </w:rPr>
            </w:pPr>
            <w:r w:rsidRPr="00EA2BC3">
              <w:rPr>
                <w:b/>
                <w:bCs/>
              </w:rPr>
              <w:t>Version</w:t>
            </w:r>
          </w:p>
        </w:tc>
        <w:tc>
          <w:tcPr>
            <w:tcW w:w="2204" w:type="dxa"/>
            <w:vAlign w:val="center"/>
          </w:tcPr>
          <w:p w14:paraId="3BADE270" w14:textId="77777777" w:rsidR="00521F41" w:rsidRPr="00EA2BC3" w:rsidRDefault="00521F41" w:rsidP="000977E1">
            <w:r>
              <w:t>1</w:t>
            </w:r>
          </w:p>
        </w:tc>
      </w:tr>
    </w:tbl>
    <w:p w14:paraId="3199B803" w14:textId="77777777" w:rsidR="00521F41" w:rsidRDefault="00521F41" w:rsidP="00521F41">
      <w:pPr>
        <w:rPr>
          <w:b/>
          <w:bCs/>
          <w:sz w:val="32"/>
          <w:szCs w:val="32"/>
        </w:rPr>
      </w:pPr>
    </w:p>
    <w:p w14:paraId="33D7E748" w14:textId="77777777" w:rsidR="00521F41" w:rsidRDefault="00521F41" w:rsidP="00BF3F57">
      <w:pPr>
        <w:rPr>
          <w:b/>
          <w:bCs/>
          <w:sz w:val="32"/>
          <w:szCs w:val="32"/>
        </w:rPr>
      </w:pPr>
    </w:p>
    <w:p w14:paraId="6891B83A" w14:textId="77777777" w:rsidR="00521F41" w:rsidRDefault="00521F41" w:rsidP="00BF3F57">
      <w:pPr>
        <w:rPr>
          <w:b/>
          <w:bCs/>
          <w:sz w:val="32"/>
          <w:szCs w:val="32"/>
        </w:rPr>
      </w:pPr>
    </w:p>
    <w:p w14:paraId="2129D7FC" w14:textId="77777777" w:rsidR="00521F41" w:rsidRDefault="00521F41" w:rsidP="00BF3F57">
      <w:pPr>
        <w:rPr>
          <w:b/>
          <w:bCs/>
          <w:sz w:val="32"/>
          <w:szCs w:val="32"/>
        </w:rPr>
      </w:pPr>
    </w:p>
    <w:p w14:paraId="51D833E2" w14:textId="77777777" w:rsidR="00521F41" w:rsidRDefault="00521F41" w:rsidP="00BF3F57">
      <w:pPr>
        <w:rPr>
          <w:b/>
          <w:bCs/>
          <w:sz w:val="32"/>
          <w:szCs w:val="32"/>
        </w:rPr>
      </w:pPr>
    </w:p>
    <w:p w14:paraId="59F39B9D" w14:textId="77777777" w:rsidR="00521F41" w:rsidRDefault="00521F41" w:rsidP="00BF3F57">
      <w:pPr>
        <w:rPr>
          <w:b/>
          <w:bCs/>
          <w:sz w:val="32"/>
          <w:szCs w:val="32"/>
        </w:rPr>
      </w:pPr>
    </w:p>
    <w:p w14:paraId="007AC676" w14:textId="77777777" w:rsidR="00521F41" w:rsidRDefault="00521F41" w:rsidP="00BF3F57">
      <w:pPr>
        <w:rPr>
          <w:b/>
          <w:bCs/>
          <w:sz w:val="32"/>
          <w:szCs w:val="32"/>
        </w:rPr>
      </w:pPr>
    </w:p>
    <w:p w14:paraId="3329B556" w14:textId="77777777" w:rsidR="00521F41" w:rsidRDefault="00521F41" w:rsidP="00BF3F57">
      <w:pPr>
        <w:rPr>
          <w:b/>
          <w:bCs/>
          <w:sz w:val="32"/>
          <w:szCs w:val="32"/>
        </w:rPr>
      </w:pPr>
    </w:p>
    <w:p w14:paraId="467A3A80" w14:textId="77777777" w:rsidR="00521F41" w:rsidRDefault="00521F41" w:rsidP="00BF3F57">
      <w:pPr>
        <w:rPr>
          <w:b/>
          <w:bCs/>
          <w:sz w:val="32"/>
          <w:szCs w:val="32"/>
        </w:rPr>
      </w:pPr>
    </w:p>
    <w:p w14:paraId="10F55EED" w14:textId="77777777" w:rsidR="00521F41" w:rsidRDefault="00521F41" w:rsidP="00BF3F57">
      <w:pPr>
        <w:rPr>
          <w:b/>
          <w:bCs/>
          <w:sz w:val="32"/>
          <w:szCs w:val="32"/>
        </w:rPr>
      </w:pPr>
    </w:p>
    <w:p w14:paraId="3D3C7DCF" w14:textId="77777777" w:rsidR="00521F41" w:rsidRDefault="00521F41" w:rsidP="00BF3F57">
      <w:pPr>
        <w:rPr>
          <w:b/>
          <w:bCs/>
          <w:sz w:val="32"/>
          <w:szCs w:val="32"/>
        </w:rPr>
      </w:pPr>
    </w:p>
    <w:p w14:paraId="79AC3E29" w14:textId="77777777" w:rsidR="00521F41" w:rsidRDefault="00521F41" w:rsidP="00BF3F57">
      <w:pPr>
        <w:rPr>
          <w:b/>
          <w:bCs/>
          <w:sz w:val="32"/>
          <w:szCs w:val="32"/>
        </w:rPr>
      </w:pPr>
    </w:p>
    <w:p w14:paraId="3A3E2A02" w14:textId="77777777" w:rsidR="00521F41" w:rsidRDefault="00521F41" w:rsidP="00BF3F57">
      <w:pPr>
        <w:rPr>
          <w:b/>
          <w:bCs/>
          <w:sz w:val="32"/>
          <w:szCs w:val="32"/>
        </w:rPr>
      </w:pPr>
    </w:p>
    <w:p w14:paraId="573081ED" w14:textId="77777777" w:rsidR="00521F41" w:rsidRDefault="00521F41" w:rsidP="00BF3F57">
      <w:pPr>
        <w:rPr>
          <w:b/>
          <w:bCs/>
          <w:sz w:val="32"/>
          <w:szCs w:val="32"/>
        </w:rPr>
      </w:pPr>
    </w:p>
    <w:p w14:paraId="2E6F8904" w14:textId="77777777" w:rsidR="00521F41" w:rsidRDefault="00521F41" w:rsidP="00BF3F57">
      <w:pPr>
        <w:rPr>
          <w:b/>
          <w:bCs/>
          <w:sz w:val="32"/>
          <w:szCs w:val="32"/>
        </w:rPr>
      </w:pPr>
    </w:p>
    <w:p w14:paraId="6DF61E44" w14:textId="77777777" w:rsidR="00521F41" w:rsidRDefault="00521F41" w:rsidP="00BF3F57">
      <w:pPr>
        <w:rPr>
          <w:b/>
          <w:bCs/>
          <w:sz w:val="32"/>
          <w:szCs w:val="32"/>
        </w:rPr>
      </w:pPr>
    </w:p>
    <w:p w14:paraId="4FEBD65B" w14:textId="77777777" w:rsidR="00521F41" w:rsidRDefault="00521F41" w:rsidP="00BF3F57">
      <w:pPr>
        <w:rPr>
          <w:b/>
          <w:bCs/>
          <w:sz w:val="32"/>
          <w:szCs w:val="32"/>
        </w:rPr>
      </w:pPr>
    </w:p>
    <w:p w14:paraId="69F7B45F" w14:textId="77777777" w:rsidR="00521F41" w:rsidRDefault="00521F41" w:rsidP="00BF3F57">
      <w:pPr>
        <w:rPr>
          <w:b/>
          <w:bCs/>
          <w:sz w:val="32"/>
          <w:szCs w:val="32"/>
        </w:rPr>
      </w:pPr>
    </w:p>
    <w:p w14:paraId="5A47ACD6" w14:textId="77777777" w:rsidR="00521F41" w:rsidRDefault="00521F41" w:rsidP="00BF3F57">
      <w:pPr>
        <w:rPr>
          <w:b/>
          <w:bCs/>
          <w:sz w:val="32"/>
          <w:szCs w:val="32"/>
        </w:rPr>
      </w:pPr>
    </w:p>
    <w:p w14:paraId="4A023DFA" w14:textId="77777777" w:rsidR="00521F41" w:rsidRDefault="00521F41" w:rsidP="00BF3F57">
      <w:pPr>
        <w:rPr>
          <w:b/>
          <w:bCs/>
          <w:sz w:val="32"/>
          <w:szCs w:val="32"/>
        </w:rPr>
      </w:pPr>
    </w:p>
    <w:p w14:paraId="38C7C933" w14:textId="77777777" w:rsidR="00521F41" w:rsidRDefault="00521F41" w:rsidP="00BF3F57">
      <w:pPr>
        <w:rPr>
          <w:b/>
          <w:bCs/>
          <w:sz w:val="32"/>
          <w:szCs w:val="32"/>
        </w:rPr>
      </w:pPr>
    </w:p>
    <w:p w14:paraId="04F5FC2E" w14:textId="77777777" w:rsidR="00521F41" w:rsidRDefault="00521F41" w:rsidP="00BF3F57">
      <w:pPr>
        <w:rPr>
          <w:b/>
          <w:bCs/>
          <w:sz w:val="32"/>
          <w:szCs w:val="32"/>
        </w:rPr>
      </w:pPr>
    </w:p>
    <w:p w14:paraId="60161E68" w14:textId="77777777" w:rsidR="00521F41" w:rsidRDefault="00521F41" w:rsidP="00BF3F57">
      <w:pPr>
        <w:rPr>
          <w:b/>
          <w:bCs/>
          <w:sz w:val="32"/>
          <w:szCs w:val="32"/>
        </w:rPr>
      </w:pPr>
    </w:p>
    <w:p w14:paraId="15BB98F5" w14:textId="6BD8327F" w:rsidR="00A23725" w:rsidRPr="00F3505B" w:rsidRDefault="00A23725" w:rsidP="00BF3F57">
      <w:pPr>
        <w:rPr>
          <w:b/>
          <w:bCs/>
          <w:sz w:val="32"/>
          <w:szCs w:val="32"/>
        </w:rPr>
      </w:pPr>
      <w:r w:rsidRPr="00F3505B">
        <w:rPr>
          <w:b/>
          <w:bCs/>
          <w:sz w:val="32"/>
          <w:szCs w:val="32"/>
        </w:rPr>
        <w:t>Contents:</w:t>
      </w:r>
    </w:p>
    <w:p w14:paraId="4D282E20" w14:textId="7707A72B" w:rsidR="00A23725" w:rsidRPr="00237825" w:rsidRDefault="00A23725" w:rsidP="003F31D0">
      <w:pPr>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97E650F" w14:textId="3EB17623" w:rsidR="00A23725" w:rsidRDefault="00A23725" w:rsidP="003F31D0">
      <w:pPr>
        <w:pStyle w:val="ListParagraph"/>
        <w:numPr>
          <w:ilvl w:val="0"/>
          <w:numId w:val="1"/>
        </w:numPr>
        <w:ind w:left="426"/>
        <w:contextualSpacing w:val="0"/>
        <w:rPr>
          <w:rFonts w:ascii="Arial" w:hAnsi="Arial" w:cs="Arial"/>
        </w:rPr>
      </w:pPr>
      <w:r>
        <w:rPr>
          <w:rFonts w:ascii="Arial" w:hAnsi="Arial" w:cs="Arial"/>
        </w:rPr>
        <w:fldChar w:fldCharType="end"/>
      </w:r>
      <w:hyperlink w:anchor="_Legal_framework_1" w:history="1">
        <w:r w:rsidR="00586921">
          <w:rPr>
            <w:rStyle w:val="Hyperlink"/>
            <w:rFonts w:ascii="Arial" w:hAnsi="Arial" w:cs="Arial"/>
          </w:rPr>
          <w:t>Legal framework</w:t>
        </w:r>
      </w:hyperlink>
      <w:r>
        <w:rPr>
          <w:rFonts w:ascii="Arial" w:hAnsi="Arial" w:cs="Arial"/>
        </w:rPr>
        <w:t xml:space="preserve"> </w:t>
      </w:r>
    </w:p>
    <w:p w14:paraId="5F9DBC55" w14:textId="0796C9E7" w:rsidR="00FF7BBA" w:rsidRDefault="00000000" w:rsidP="003F31D0">
      <w:pPr>
        <w:pStyle w:val="ListParagraph"/>
        <w:numPr>
          <w:ilvl w:val="0"/>
          <w:numId w:val="1"/>
        </w:numPr>
        <w:ind w:left="426"/>
        <w:contextualSpacing w:val="0"/>
        <w:rPr>
          <w:rFonts w:ascii="Arial" w:hAnsi="Arial" w:cs="Arial"/>
        </w:rPr>
      </w:pPr>
      <w:hyperlink w:anchor="_Roles_and_responsibilities" w:history="1">
        <w:r w:rsidR="00FF7BBA" w:rsidRPr="00EF25C6">
          <w:rPr>
            <w:rStyle w:val="Hyperlink"/>
            <w:rFonts w:ascii="Arial" w:hAnsi="Arial" w:cs="Arial"/>
          </w:rPr>
          <w:t>Roles and responsibilities</w:t>
        </w:r>
      </w:hyperlink>
      <w:r w:rsidR="00FF7BBA">
        <w:rPr>
          <w:rFonts w:ascii="Arial" w:hAnsi="Arial" w:cs="Arial"/>
        </w:rPr>
        <w:t xml:space="preserve"> </w:t>
      </w:r>
    </w:p>
    <w:p w14:paraId="3C9BF3A1" w14:textId="1E8F0D91" w:rsidR="00FF7BBA" w:rsidRDefault="00000000" w:rsidP="003F31D0">
      <w:pPr>
        <w:pStyle w:val="ListParagraph"/>
        <w:numPr>
          <w:ilvl w:val="0"/>
          <w:numId w:val="1"/>
        </w:numPr>
        <w:ind w:left="426"/>
        <w:contextualSpacing w:val="0"/>
        <w:rPr>
          <w:rFonts w:ascii="Arial" w:hAnsi="Arial" w:cs="Arial"/>
        </w:rPr>
      </w:pPr>
      <w:hyperlink w:anchor="_The_purpose_of" w:history="1">
        <w:r w:rsidR="00FF7BBA" w:rsidRPr="00EF25C6">
          <w:rPr>
            <w:rStyle w:val="Hyperlink"/>
            <w:rFonts w:ascii="Arial" w:hAnsi="Arial" w:cs="Arial"/>
          </w:rPr>
          <w:t>The purpose of reserves</w:t>
        </w:r>
      </w:hyperlink>
      <w:r w:rsidR="00FF7BBA">
        <w:rPr>
          <w:rFonts w:ascii="Arial" w:hAnsi="Arial" w:cs="Arial"/>
        </w:rPr>
        <w:t xml:space="preserve"> </w:t>
      </w:r>
    </w:p>
    <w:p w14:paraId="5E365599" w14:textId="5A19EDDD" w:rsidR="00FF7BBA" w:rsidRDefault="00000000" w:rsidP="003F31D0">
      <w:pPr>
        <w:pStyle w:val="ListParagraph"/>
        <w:numPr>
          <w:ilvl w:val="0"/>
          <w:numId w:val="1"/>
        </w:numPr>
        <w:ind w:left="426"/>
        <w:contextualSpacing w:val="0"/>
        <w:rPr>
          <w:rFonts w:ascii="Arial" w:hAnsi="Arial" w:cs="Arial"/>
        </w:rPr>
      </w:pPr>
      <w:hyperlink w:anchor="_Types_of_reserves" w:history="1">
        <w:r w:rsidR="00FF7BBA" w:rsidRPr="00EF25C6">
          <w:rPr>
            <w:rStyle w:val="Hyperlink"/>
            <w:rFonts w:ascii="Arial" w:hAnsi="Arial" w:cs="Arial"/>
          </w:rPr>
          <w:t>Types of reserves</w:t>
        </w:r>
      </w:hyperlink>
      <w:r w:rsidR="00FF7BBA">
        <w:rPr>
          <w:rFonts w:ascii="Arial" w:hAnsi="Arial" w:cs="Arial"/>
        </w:rPr>
        <w:t xml:space="preserve"> </w:t>
      </w:r>
    </w:p>
    <w:p w14:paraId="4BA73053" w14:textId="53F993B1" w:rsidR="00FF7BBA" w:rsidRDefault="00000000" w:rsidP="003F31D0">
      <w:pPr>
        <w:pStyle w:val="ListParagraph"/>
        <w:numPr>
          <w:ilvl w:val="0"/>
          <w:numId w:val="1"/>
        </w:numPr>
        <w:ind w:left="426"/>
        <w:contextualSpacing w:val="0"/>
        <w:rPr>
          <w:rFonts w:ascii="Arial" w:hAnsi="Arial" w:cs="Arial"/>
        </w:rPr>
      </w:pPr>
      <w:hyperlink w:anchor="_Managing_reserves" w:history="1">
        <w:r w:rsidR="00FF7BBA" w:rsidRPr="00EF25C6">
          <w:rPr>
            <w:rStyle w:val="Hyperlink"/>
            <w:rFonts w:ascii="Arial" w:hAnsi="Arial" w:cs="Arial"/>
          </w:rPr>
          <w:t>Managing reserves</w:t>
        </w:r>
      </w:hyperlink>
    </w:p>
    <w:p w14:paraId="3799F7E3" w14:textId="40301970" w:rsidR="00FF7BBA" w:rsidRDefault="00000000" w:rsidP="003F31D0">
      <w:pPr>
        <w:pStyle w:val="ListParagraph"/>
        <w:numPr>
          <w:ilvl w:val="0"/>
          <w:numId w:val="1"/>
        </w:numPr>
        <w:ind w:left="426"/>
        <w:contextualSpacing w:val="0"/>
        <w:rPr>
          <w:rFonts w:ascii="Arial" w:hAnsi="Arial" w:cs="Arial"/>
        </w:rPr>
      </w:pPr>
      <w:hyperlink w:anchor="_Investment" w:history="1">
        <w:r w:rsidR="00FF7BBA" w:rsidRPr="00EF25C6">
          <w:rPr>
            <w:rStyle w:val="Hyperlink"/>
            <w:rFonts w:ascii="Arial" w:hAnsi="Arial" w:cs="Arial"/>
          </w:rPr>
          <w:t>Investment</w:t>
        </w:r>
      </w:hyperlink>
    </w:p>
    <w:p w14:paraId="2FF79152" w14:textId="474A91B4" w:rsidR="00FF7BBA" w:rsidRDefault="00000000" w:rsidP="003F31D0">
      <w:pPr>
        <w:pStyle w:val="ListParagraph"/>
        <w:numPr>
          <w:ilvl w:val="0"/>
          <w:numId w:val="1"/>
        </w:numPr>
        <w:ind w:left="426"/>
        <w:contextualSpacing w:val="0"/>
        <w:rPr>
          <w:rFonts w:ascii="Arial" w:hAnsi="Arial" w:cs="Arial"/>
        </w:rPr>
      </w:pPr>
      <w:hyperlink w:anchor="_Reporting" w:history="1">
        <w:r w:rsidR="00FF7BBA" w:rsidRPr="00EF25C6">
          <w:rPr>
            <w:rStyle w:val="Hyperlink"/>
            <w:rFonts w:ascii="Arial" w:hAnsi="Arial" w:cs="Arial"/>
          </w:rPr>
          <w:t>Reporting</w:t>
        </w:r>
      </w:hyperlink>
    </w:p>
    <w:p w14:paraId="75235DAB" w14:textId="01DD9AC6" w:rsidR="00FF7BBA" w:rsidRDefault="00000000" w:rsidP="003F31D0">
      <w:pPr>
        <w:pStyle w:val="ListParagraph"/>
        <w:numPr>
          <w:ilvl w:val="0"/>
          <w:numId w:val="1"/>
        </w:numPr>
        <w:ind w:left="426"/>
        <w:contextualSpacing w:val="0"/>
        <w:rPr>
          <w:rFonts w:ascii="Arial" w:hAnsi="Arial" w:cs="Arial"/>
        </w:rPr>
      </w:pPr>
      <w:hyperlink w:anchor="_[MATs_only]_Pooling" w:history="1">
        <w:r w:rsidR="00FF7BBA" w:rsidRPr="00EF25C6">
          <w:rPr>
            <w:rStyle w:val="Hyperlink"/>
            <w:rFonts w:ascii="Arial" w:hAnsi="Arial" w:cs="Arial"/>
          </w:rPr>
          <w:t>Pooling reserves</w:t>
        </w:r>
      </w:hyperlink>
    </w:p>
    <w:p w14:paraId="5AF181FA" w14:textId="2F0A3395" w:rsidR="00FF7BBA" w:rsidRDefault="00000000" w:rsidP="003F31D0">
      <w:pPr>
        <w:pStyle w:val="ListParagraph"/>
        <w:numPr>
          <w:ilvl w:val="0"/>
          <w:numId w:val="1"/>
        </w:numPr>
        <w:ind w:left="426"/>
        <w:contextualSpacing w:val="0"/>
        <w:rPr>
          <w:rFonts w:ascii="Arial" w:hAnsi="Arial" w:cs="Arial"/>
        </w:rPr>
      </w:pPr>
      <w:hyperlink w:anchor="_Monitoring_and_review" w:history="1">
        <w:r w:rsidR="00FF7BBA" w:rsidRPr="00EF25C6">
          <w:rPr>
            <w:rStyle w:val="Hyperlink"/>
            <w:rFonts w:ascii="Arial" w:hAnsi="Arial" w:cs="Arial"/>
          </w:rPr>
          <w:t>Monitoring and review</w:t>
        </w:r>
      </w:hyperlink>
      <w:r w:rsidR="00FF7BBA">
        <w:rPr>
          <w:rFonts w:ascii="Arial" w:hAnsi="Arial" w:cs="Arial"/>
        </w:rPr>
        <w:t xml:space="preserve"> </w:t>
      </w:r>
    </w:p>
    <w:p w14:paraId="1B62E2A3" w14:textId="0070E08D" w:rsidR="00A23725" w:rsidRPr="00F165AD" w:rsidRDefault="00A23725" w:rsidP="00BF3F57">
      <w:pPr>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3F31D0">
      <w:pPr>
        <w:rPr>
          <w:b/>
          <w:bCs/>
          <w:sz w:val="28"/>
          <w:szCs w:val="28"/>
        </w:rPr>
      </w:pPr>
      <w:bookmarkStart w:id="1" w:name="_Statement_of_intent_1"/>
      <w:bookmarkEnd w:id="1"/>
      <w:r w:rsidRPr="00BF3F57">
        <w:rPr>
          <w:b/>
          <w:bCs/>
          <w:sz w:val="28"/>
          <w:szCs w:val="28"/>
        </w:rPr>
        <w:lastRenderedPageBreak/>
        <w:t>Statement of intent</w:t>
      </w:r>
    </w:p>
    <w:p w14:paraId="7069F252" w14:textId="19BB7617" w:rsidR="00FF7BBA" w:rsidRDefault="005C2C4E" w:rsidP="00FF7BBA">
      <w:r>
        <w:t>The Pennine Trust</w:t>
      </w:r>
      <w:r w:rsidR="00FF7BBA" w:rsidRPr="005129F3">
        <w:rPr>
          <w:color w:val="FF6900" w:themeColor="accent6"/>
        </w:rPr>
        <w:t xml:space="preserve"> </w:t>
      </w:r>
      <w:r w:rsidR="00FF7BBA">
        <w:t xml:space="preserve">has developed this policy to aid the framework for future strategic planning and decision-making. </w:t>
      </w:r>
    </w:p>
    <w:p w14:paraId="0F1C4E70" w14:textId="77777777" w:rsidR="00A23725" w:rsidRDefault="00A23725" w:rsidP="006C12C0"/>
    <w:p w14:paraId="4BF9CE7E" w14:textId="77777777" w:rsidR="00A23725" w:rsidRDefault="00A23725" w:rsidP="006C12C0">
      <w:pPr>
        <w:sectPr w:rsidR="00A23725" w:rsidSect="00DD65B4">
          <w:headerReference w:type="first" r:id="rId11"/>
          <w:pgSz w:w="11906" w:h="16838"/>
          <w:pgMar w:top="1440" w:right="1440" w:bottom="1440" w:left="1440" w:header="709" w:footer="709" w:gutter="0"/>
          <w:pgNumType w:start="0"/>
          <w:cols w:space="708"/>
          <w:titlePg/>
          <w:docGrid w:linePitch="360"/>
        </w:sectPr>
      </w:pPr>
    </w:p>
    <w:p w14:paraId="49738D44" w14:textId="6A47E148" w:rsidR="00A23725" w:rsidRPr="00223A05" w:rsidRDefault="00A23725" w:rsidP="005237F3">
      <w:pPr>
        <w:pStyle w:val="Heading10"/>
      </w:pPr>
      <w:bookmarkStart w:id="2" w:name="_Legal_framework_1"/>
      <w:bookmarkEnd w:id="2"/>
      <w:r w:rsidRPr="00292795">
        <w:lastRenderedPageBreak/>
        <w:t>Legal fr</w:t>
      </w:r>
      <w:r w:rsidRPr="00223A05">
        <w:t>ame</w:t>
      </w:r>
      <w:r w:rsidR="00B352B6">
        <w:t>work</w:t>
      </w:r>
    </w:p>
    <w:p w14:paraId="70FF4D35" w14:textId="2E1C5D8F" w:rsidR="00A23725" w:rsidRDefault="00A23725" w:rsidP="001C7E09">
      <w:r>
        <w:t>This policy has due regard to</w:t>
      </w:r>
      <w:r w:rsidR="00BB2368">
        <w:t xml:space="preserve"> all relevant</w:t>
      </w:r>
      <w:r>
        <w:t xml:space="preserve"> legislation and statutory guidance including, but not limited to, the following:</w:t>
      </w:r>
      <w:r w:rsidRPr="00EC7305">
        <w:t xml:space="preserve"> </w:t>
      </w:r>
    </w:p>
    <w:p w14:paraId="64B4F9BD" w14:textId="7AF72A91" w:rsidR="00FF7BBA" w:rsidRDefault="00FF7BBA" w:rsidP="00FF7BBA">
      <w:pPr>
        <w:pStyle w:val="ListParagraph"/>
        <w:numPr>
          <w:ilvl w:val="0"/>
          <w:numId w:val="11"/>
        </w:numPr>
      </w:pPr>
      <w:r>
        <w:t>ESFA (2021) ‘Academ</w:t>
      </w:r>
      <w:r w:rsidR="00492F05">
        <w:t>y</w:t>
      </w:r>
      <w:r>
        <w:t xml:space="preserve"> trust handbook 2021’</w:t>
      </w:r>
    </w:p>
    <w:p w14:paraId="55B1FBB0" w14:textId="0201E0F2" w:rsidR="00FF7BBA" w:rsidRDefault="00FF7BBA" w:rsidP="005C2C4E">
      <w:pPr>
        <w:pStyle w:val="ListParagraph"/>
        <w:numPr>
          <w:ilvl w:val="0"/>
          <w:numId w:val="11"/>
        </w:numPr>
      </w:pPr>
      <w:r>
        <w:t>Charity Commission (2016) ‘Charity reserves: building resilience’</w:t>
      </w:r>
    </w:p>
    <w:p w14:paraId="02EE3C1E" w14:textId="474A2BE3" w:rsidR="00A23725" w:rsidRDefault="00A23725" w:rsidP="001C7E09">
      <w:r>
        <w:t>This policy operates in conjunction with the following school policies</w:t>
      </w:r>
      <w:r w:rsidR="00492F05">
        <w:t xml:space="preserve"> and documents</w:t>
      </w:r>
      <w:r>
        <w:t>:</w:t>
      </w:r>
    </w:p>
    <w:p w14:paraId="54CFC3E4" w14:textId="632391B5" w:rsidR="00F3505B" w:rsidRDefault="00FF7BBA" w:rsidP="00F3505B">
      <w:pPr>
        <w:pStyle w:val="ListParagraph"/>
        <w:numPr>
          <w:ilvl w:val="0"/>
          <w:numId w:val="11"/>
        </w:numPr>
      </w:pPr>
      <w:r>
        <w:t>Articles of Association</w:t>
      </w:r>
    </w:p>
    <w:p w14:paraId="6699C191" w14:textId="4B9AD661" w:rsidR="00FF7BBA" w:rsidRDefault="00FF7BBA" w:rsidP="00F3505B">
      <w:pPr>
        <w:pStyle w:val="ListParagraph"/>
        <w:numPr>
          <w:ilvl w:val="0"/>
          <w:numId w:val="11"/>
        </w:numPr>
      </w:pPr>
      <w:r>
        <w:t>Funding Agreement</w:t>
      </w:r>
    </w:p>
    <w:p w14:paraId="0E1F3384" w14:textId="435C78E4" w:rsidR="00FF7BBA" w:rsidRDefault="00FF7BBA" w:rsidP="00F3505B">
      <w:pPr>
        <w:pStyle w:val="ListParagraph"/>
        <w:numPr>
          <w:ilvl w:val="0"/>
          <w:numId w:val="11"/>
        </w:numPr>
      </w:pPr>
      <w:r>
        <w:t>Finance Policy</w:t>
      </w:r>
    </w:p>
    <w:p w14:paraId="4D96AA4E" w14:textId="37B9B794" w:rsidR="00FF7BBA" w:rsidRDefault="00FF7BBA" w:rsidP="00F3505B">
      <w:pPr>
        <w:pStyle w:val="ListParagraph"/>
        <w:numPr>
          <w:ilvl w:val="0"/>
          <w:numId w:val="11"/>
        </w:numPr>
      </w:pPr>
      <w:r>
        <w:t>Conflicts of Interest Policy</w:t>
      </w:r>
    </w:p>
    <w:p w14:paraId="674C1092" w14:textId="60C55026" w:rsidR="00FF7BBA" w:rsidRPr="00223A05" w:rsidRDefault="00FF7BBA" w:rsidP="00FF7BBA">
      <w:pPr>
        <w:pStyle w:val="Heading10"/>
      </w:pPr>
      <w:bookmarkStart w:id="3" w:name="_Roles_and_responsibilities"/>
      <w:bookmarkEnd w:id="3"/>
      <w:r>
        <w:t>Roles and responsibilities</w:t>
      </w:r>
    </w:p>
    <w:p w14:paraId="36C0C7DA" w14:textId="77777777" w:rsidR="007C5F57" w:rsidRPr="00FF2156" w:rsidRDefault="007C5F57" w:rsidP="007C5F57">
      <w:r w:rsidRPr="00FF2156">
        <w:t>The board of trustees is responsible for:</w:t>
      </w:r>
    </w:p>
    <w:p w14:paraId="1CBFC878" w14:textId="518CDC5B" w:rsidR="007C5F57" w:rsidRPr="00FF2156" w:rsidRDefault="007C5F57" w:rsidP="007C5F57">
      <w:pPr>
        <w:pStyle w:val="ListParagraph"/>
        <w:numPr>
          <w:ilvl w:val="0"/>
          <w:numId w:val="12"/>
        </w:numPr>
      </w:pPr>
      <w:r w:rsidRPr="00FF2156">
        <w:t xml:space="preserve">Ensuring the </w:t>
      </w:r>
      <w:r w:rsidR="003E72B4">
        <w:t>T</w:t>
      </w:r>
      <w:r w:rsidRPr="00FF2156">
        <w:t>rust’s reserves are maintained and used only as described in this policy.</w:t>
      </w:r>
    </w:p>
    <w:p w14:paraId="047A6802" w14:textId="77777777" w:rsidR="007C5F57" w:rsidRPr="00FF2156" w:rsidRDefault="007C5F57" w:rsidP="007C5F57">
      <w:pPr>
        <w:pStyle w:val="ListParagraph"/>
        <w:numPr>
          <w:ilvl w:val="0"/>
          <w:numId w:val="12"/>
        </w:numPr>
      </w:pPr>
      <w:r w:rsidRPr="00FF2156">
        <w:t>Identifying when reserves need to be drawn on, so that they understand the reasons for this and can identify any corrective actions that need to be taken.</w:t>
      </w:r>
    </w:p>
    <w:p w14:paraId="3F2FCBE9" w14:textId="59D5B3E0" w:rsidR="007C5F57" w:rsidRPr="00FF2156" w:rsidRDefault="007C5F57" w:rsidP="005D0C3A">
      <w:pPr>
        <w:pStyle w:val="ListParagraph"/>
        <w:numPr>
          <w:ilvl w:val="0"/>
          <w:numId w:val="12"/>
        </w:numPr>
      </w:pPr>
      <w:r w:rsidRPr="00FF2156">
        <w:t>Identifying any broader, long-term financial problems that mean the reserves are frequently used or are below the minimum level.</w:t>
      </w:r>
    </w:p>
    <w:p w14:paraId="27AE8881" w14:textId="0EBC1464" w:rsidR="007C5F57" w:rsidRPr="00FF2156" w:rsidRDefault="007C5F57" w:rsidP="007C5F57">
      <w:pPr>
        <w:pStyle w:val="ListParagraph"/>
        <w:numPr>
          <w:ilvl w:val="0"/>
          <w:numId w:val="12"/>
        </w:numPr>
      </w:pPr>
      <w:r w:rsidRPr="00FF2156">
        <w:t xml:space="preserve">Maintaining the </w:t>
      </w:r>
      <w:r w:rsidR="003E72B4">
        <w:t>T</w:t>
      </w:r>
      <w:r w:rsidRPr="00FF2156">
        <w:t>rust as a going concern.</w:t>
      </w:r>
    </w:p>
    <w:p w14:paraId="314C8570" w14:textId="7A420D81" w:rsidR="007C5F57" w:rsidRPr="00FF2156" w:rsidRDefault="007C5F57" w:rsidP="007C5F57">
      <w:r w:rsidRPr="00FF2156">
        <w:t xml:space="preserve">The </w:t>
      </w:r>
      <w:r w:rsidR="005D0C3A">
        <w:t>resources</w:t>
      </w:r>
      <w:r w:rsidRPr="00FF2156">
        <w:t xml:space="preserve"> committee is responsible for:</w:t>
      </w:r>
    </w:p>
    <w:p w14:paraId="5FA7F506" w14:textId="77777777" w:rsidR="007C5F57" w:rsidRPr="00FF2156" w:rsidRDefault="007C5F57" w:rsidP="007C5F57">
      <w:pPr>
        <w:pStyle w:val="ListParagraph"/>
        <w:numPr>
          <w:ilvl w:val="0"/>
          <w:numId w:val="12"/>
        </w:numPr>
      </w:pPr>
      <w:r w:rsidRPr="00FF2156">
        <w:t>Making financial recommendations to the board of trustees.</w:t>
      </w:r>
    </w:p>
    <w:p w14:paraId="496FD121" w14:textId="77777777" w:rsidR="007C5F57" w:rsidRPr="00FF2156" w:rsidRDefault="007C5F57" w:rsidP="007C5F57">
      <w:pPr>
        <w:pStyle w:val="ListParagraph"/>
        <w:numPr>
          <w:ilvl w:val="0"/>
          <w:numId w:val="12"/>
        </w:numPr>
      </w:pPr>
      <w:r w:rsidRPr="00FF2156">
        <w:t>Carrying out any other responsibilities in line with the relevant scheme of delegation.</w:t>
      </w:r>
    </w:p>
    <w:p w14:paraId="38F1B94B" w14:textId="38D85ACD" w:rsidR="007C5F57" w:rsidRPr="00FF2156" w:rsidRDefault="007C5F57" w:rsidP="007C5F57">
      <w:pPr>
        <w:pStyle w:val="ListParagraph"/>
        <w:numPr>
          <w:ilvl w:val="0"/>
          <w:numId w:val="12"/>
        </w:numPr>
      </w:pPr>
      <w:r w:rsidRPr="00FF2156">
        <w:t>Adhering to and implementing this policy.</w:t>
      </w:r>
    </w:p>
    <w:p w14:paraId="2C5E444B" w14:textId="77777777" w:rsidR="007C5F57" w:rsidRPr="00FF2156" w:rsidRDefault="007C5F57" w:rsidP="007C5F57">
      <w:r w:rsidRPr="00FF2156">
        <w:t>The chief financial officer (CFO) is responsible for:</w:t>
      </w:r>
    </w:p>
    <w:p w14:paraId="376EC71D" w14:textId="09366836" w:rsidR="007C5F57" w:rsidRPr="00FF2156" w:rsidRDefault="007C5F57" w:rsidP="007C5F57">
      <w:pPr>
        <w:pStyle w:val="ListParagraph"/>
        <w:numPr>
          <w:ilvl w:val="0"/>
          <w:numId w:val="12"/>
        </w:numPr>
      </w:pPr>
      <w:r w:rsidRPr="00FF2156">
        <w:t xml:space="preserve">Regularly monitoring the </w:t>
      </w:r>
      <w:r w:rsidR="003D473E">
        <w:t>T</w:t>
      </w:r>
      <w:r w:rsidRPr="00FF2156">
        <w:t xml:space="preserve">rust’s reserves and reporting to the board of trustees or the </w:t>
      </w:r>
      <w:r w:rsidR="005D0C3A">
        <w:t>resources</w:t>
      </w:r>
      <w:r w:rsidRPr="00FF2156">
        <w:t xml:space="preserve"> committee accordingly.</w:t>
      </w:r>
    </w:p>
    <w:p w14:paraId="2FD98385" w14:textId="77777777" w:rsidR="007C5F57" w:rsidRPr="00FF2156" w:rsidRDefault="007C5F57" w:rsidP="007C5F57">
      <w:pPr>
        <w:pStyle w:val="ListParagraph"/>
        <w:numPr>
          <w:ilvl w:val="0"/>
          <w:numId w:val="12"/>
        </w:numPr>
      </w:pPr>
      <w:r w:rsidRPr="00FF2156">
        <w:t>Reporting the explanations for any shortfall or excess in reserves.</w:t>
      </w:r>
    </w:p>
    <w:p w14:paraId="469752F1" w14:textId="105A39E1" w:rsidR="007C5F57" w:rsidRPr="00FF2156" w:rsidRDefault="007C5F57" w:rsidP="007C5F57">
      <w:pPr>
        <w:pStyle w:val="ListParagraph"/>
        <w:numPr>
          <w:ilvl w:val="0"/>
          <w:numId w:val="12"/>
        </w:numPr>
      </w:pPr>
      <w:r w:rsidRPr="00FF2156">
        <w:t xml:space="preserve">Comparing the amount of reserves held with the minimum and maximum limits set out in </w:t>
      </w:r>
      <w:hyperlink w:anchor="_Managing_reserves" w:history="1">
        <w:r w:rsidR="006C106F" w:rsidRPr="006C106F">
          <w:rPr>
            <w:rStyle w:val="Hyperlink"/>
          </w:rPr>
          <w:t>section 5</w:t>
        </w:r>
      </w:hyperlink>
      <w:r w:rsidRPr="00FF2156">
        <w:t xml:space="preserve"> of this policy.</w:t>
      </w:r>
    </w:p>
    <w:p w14:paraId="13F15F1B" w14:textId="4D2E6CCB" w:rsidR="007C5F57" w:rsidRPr="00FF2156" w:rsidRDefault="007C5F57" w:rsidP="005D0C3A">
      <w:pPr>
        <w:pStyle w:val="ListParagraph"/>
        <w:numPr>
          <w:ilvl w:val="0"/>
          <w:numId w:val="12"/>
        </w:numPr>
      </w:pPr>
      <w:r w:rsidRPr="00FF2156">
        <w:t>Reporting any actions being taken or planned to bring reserves in line with the minimum and maximum limits.</w:t>
      </w:r>
    </w:p>
    <w:p w14:paraId="628B92ED" w14:textId="39BE741A" w:rsidR="00020DFD" w:rsidRDefault="006C3ED1" w:rsidP="00556041">
      <w:pPr>
        <w:pStyle w:val="Heading10"/>
      </w:pPr>
      <w:bookmarkStart w:id="4" w:name="_The_purpose_of"/>
      <w:bookmarkEnd w:id="4"/>
      <w:r>
        <w:t>The purpose of reserves</w:t>
      </w:r>
    </w:p>
    <w:p w14:paraId="5BCB38C6" w14:textId="52C40662" w:rsidR="006C3ED1" w:rsidRPr="00FF2156" w:rsidRDefault="006C3ED1" w:rsidP="006C3ED1">
      <w:r w:rsidRPr="00FF2156">
        <w:t>Reserves will have a specific purpose relating to future spending or covering current and future risks.</w:t>
      </w:r>
      <w:r w:rsidR="00456FA6">
        <w:t xml:space="preserve"> </w:t>
      </w:r>
      <w:r w:rsidRPr="00FF2156">
        <w:t>The purposes for holding reserves will be transparent.</w:t>
      </w:r>
    </w:p>
    <w:p w14:paraId="1E4DE0C5" w14:textId="4535B7AA" w:rsidR="006C3ED1" w:rsidRPr="00FF2156" w:rsidRDefault="006C3ED1" w:rsidP="006C3ED1">
      <w:r w:rsidRPr="00FF2156">
        <w:t>Reserves will be held to ensure that unexpected financial events do not cause problems in the current year or cash flow issues or generate a deficit.</w:t>
      </w:r>
    </w:p>
    <w:p w14:paraId="2CB49B11" w14:textId="77777777" w:rsidR="006C3ED1" w:rsidRPr="00FF2156" w:rsidRDefault="006C3ED1" w:rsidP="006C3ED1">
      <w:r w:rsidRPr="00FF2156">
        <w:t>The purposes for holding reserves may include:</w:t>
      </w:r>
    </w:p>
    <w:p w14:paraId="27ADA92E" w14:textId="77777777" w:rsidR="006C3ED1" w:rsidRPr="00FF2156" w:rsidRDefault="006C3ED1" w:rsidP="006C3ED1">
      <w:pPr>
        <w:pStyle w:val="ListParagraph"/>
        <w:numPr>
          <w:ilvl w:val="0"/>
          <w:numId w:val="13"/>
        </w:numPr>
      </w:pPr>
      <w:r w:rsidRPr="00FF2156">
        <w:lastRenderedPageBreak/>
        <w:t>Covering unforeseen emergencies or unexpected expenditure, e.g. a large repair bill.</w:t>
      </w:r>
    </w:p>
    <w:p w14:paraId="4C40008F" w14:textId="77777777" w:rsidR="006C3ED1" w:rsidRPr="00FF2156" w:rsidRDefault="006C3ED1" w:rsidP="006C3ED1">
      <w:pPr>
        <w:pStyle w:val="ListParagraph"/>
        <w:numPr>
          <w:ilvl w:val="0"/>
          <w:numId w:val="13"/>
        </w:numPr>
      </w:pPr>
      <w:r w:rsidRPr="00FF2156">
        <w:t>Covering unforeseen day-to-day operational costs, e.g. employing temporary staff to cover long-term absence.</w:t>
      </w:r>
    </w:p>
    <w:p w14:paraId="4E62464A" w14:textId="77777777" w:rsidR="006C3ED1" w:rsidRPr="00FF2156" w:rsidRDefault="006C3ED1" w:rsidP="006C3ED1">
      <w:pPr>
        <w:pStyle w:val="ListParagraph"/>
        <w:numPr>
          <w:ilvl w:val="0"/>
          <w:numId w:val="13"/>
        </w:numPr>
      </w:pPr>
      <w:r w:rsidRPr="00FF2156">
        <w:t>Covering a failure in a source of income, e.g. a grant not being renewed.</w:t>
      </w:r>
    </w:p>
    <w:p w14:paraId="2B2F64A5" w14:textId="77777777" w:rsidR="006C3ED1" w:rsidRPr="00FF2156" w:rsidRDefault="006C3ED1" w:rsidP="006C3ED1">
      <w:pPr>
        <w:pStyle w:val="ListParagraph"/>
        <w:numPr>
          <w:ilvl w:val="0"/>
          <w:numId w:val="13"/>
        </w:numPr>
      </w:pPr>
      <w:r w:rsidRPr="00FF2156">
        <w:t>Preparing for planned commitments that cannot be met by future income alone, e.g. plans for a major asset purchase.</w:t>
      </w:r>
    </w:p>
    <w:p w14:paraId="5434C6A9" w14:textId="77777777" w:rsidR="006C3ED1" w:rsidRPr="00FF2156" w:rsidRDefault="006C3ED1" w:rsidP="006C3ED1">
      <w:pPr>
        <w:pStyle w:val="ListParagraph"/>
        <w:numPr>
          <w:ilvl w:val="0"/>
          <w:numId w:val="13"/>
        </w:numPr>
      </w:pPr>
      <w:r w:rsidRPr="00FF2156">
        <w:t>Needing to fund short-term deficits in budget, e.g. funds that may need to be spent before a grant is received.</w:t>
      </w:r>
    </w:p>
    <w:p w14:paraId="5A78EDD9" w14:textId="6E8253A6" w:rsidR="006C3ED1" w:rsidRDefault="006C3ED1" w:rsidP="00556041">
      <w:pPr>
        <w:pStyle w:val="Heading10"/>
      </w:pPr>
      <w:bookmarkStart w:id="5" w:name="_Types_of_reserves"/>
      <w:bookmarkEnd w:id="5"/>
      <w:r>
        <w:t>Types of reserves</w:t>
      </w:r>
    </w:p>
    <w:p w14:paraId="38609FB3" w14:textId="77777777" w:rsidR="006C3ED1" w:rsidRPr="006C3ED1" w:rsidRDefault="006C3ED1" w:rsidP="006C3ED1">
      <w:pPr>
        <w:rPr>
          <w:b/>
          <w:bCs/>
        </w:rPr>
      </w:pPr>
      <w:r w:rsidRPr="006C3ED1">
        <w:rPr>
          <w:b/>
          <w:bCs/>
        </w:rPr>
        <w:t>Unrestricted reserves</w:t>
      </w:r>
    </w:p>
    <w:p w14:paraId="6DDB6620" w14:textId="052BDDCF" w:rsidR="006C3ED1" w:rsidRPr="00FF2156" w:rsidRDefault="006C3ED1" w:rsidP="006C3ED1">
      <w:r w:rsidRPr="00FF2156">
        <w:t xml:space="preserve">Unrestricted reserves, which include income funds, grants and donations, will be spent at the discretion of the board of trustees in furtherance of the </w:t>
      </w:r>
      <w:r w:rsidR="003D473E">
        <w:t>T</w:t>
      </w:r>
      <w:r w:rsidRPr="00FF2156">
        <w:t>rust’s objectives.</w:t>
      </w:r>
    </w:p>
    <w:p w14:paraId="14E9BA23" w14:textId="0C57E9A8" w:rsidR="006C3ED1" w:rsidRPr="006C3ED1" w:rsidRDefault="006C3ED1" w:rsidP="006C3ED1">
      <w:pPr>
        <w:rPr>
          <w:b/>
          <w:bCs/>
        </w:rPr>
      </w:pPr>
      <w:r w:rsidRPr="006C3ED1">
        <w:rPr>
          <w:b/>
          <w:bCs/>
        </w:rPr>
        <w:t>Restricted reserves</w:t>
      </w:r>
    </w:p>
    <w:p w14:paraId="65968264" w14:textId="4DACC79A" w:rsidR="006C3ED1" w:rsidRPr="00FF2156" w:rsidRDefault="006C3ED1" w:rsidP="006C3ED1">
      <w:r w:rsidRPr="00FF2156">
        <w:t xml:space="preserve">Restricted reserves, which may include restricted income funds, grants or donations, will be spent or invested in furtherance of the </w:t>
      </w:r>
      <w:r w:rsidR="003D473E">
        <w:t>T</w:t>
      </w:r>
      <w:r w:rsidRPr="00FF2156">
        <w:t>rust’s objectives or assets, or spent where the donor has expressed the nature of expenditure.</w:t>
      </w:r>
    </w:p>
    <w:p w14:paraId="467E06EE" w14:textId="77777777" w:rsidR="006C3ED1" w:rsidRDefault="006C3ED1" w:rsidP="006C3ED1">
      <w:r w:rsidRPr="00FF2156">
        <w:t>Restricted reserves may be endowment funds, where the funds or assets are required to be invested or retained for actual use, rather than spent.</w:t>
      </w:r>
    </w:p>
    <w:p w14:paraId="778F96F8" w14:textId="143B6AD4" w:rsidR="006C3ED1" w:rsidRPr="006C3ED1" w:rsidRDefault="006C3ED1" w:rsidP="006C3ED1">
      <w:pPr>
        <w:rPr>
          <w:b/>
          <w:bCs/>
        </w:rPr>
      </w:pPr>
      <w:r w:rsidRPr="006C3ED1">
        <w:rPr>
          <w:b/>
          <w:bCs/>
        </w:rPr>
        <w:t>Designated reserves</w:t>
      </w:r>
    </w:p>
    <w:p w14:paraId="5A9F93B1" w14:textId="77777777" w:rsidR="006C3ED1" w:rsidRPr="00FF2156" w:rsidRDefault="006C3ED1" w:rsidP="006C3ED1">
      <w:r w:rsidRPr="00FF2156">
        <w:t>A sum of unrestricted or restricted reserves may be separated and designated a particular purpose, therefore becoming a ‘designated reserve’, e.g. to purchase a new asset.</w:t>
      </w:r>
    </w:p>
    <w:p w14:paraId="36F1C0D9" w14:textId="77777777" w:rsidR="006C3ED1" w:rsidRPr="00FF2156" w:rsidRDefault="006C3ED1" w:rsidP="006C3ED1">
      <w:r w:rsidRPr="00FF2156">
        <w:t>Designated reserves are labelled this way for administrative purposes only and can still be spent at the discretion of the board of trustees.</w:t>
      </w:r>
    </w:p>
    <w:p w14:paraId="73800C9C" w14:textId="77777777" w:rsidR="006C3ED1" w:rsidRPr="00FF2156" w:rsidRDefault="006C3ED1" w:rsidP="006C3ED1">
      <w:r w:rsidRPr="00FF2156">
        <w:t>Where a designated reserve has been created, the board of trustees will provide a purpose and a timeframe for spending it.</w:t>
      </w:r>
    </w:p>
    <w:p w14:paraId="1270BD54" w14:textId="07B4484A" w:rsidR="006C3ED1" w:rsidRPr="006C3ED1" w:rsidRDefault="006C3ED1" w:rsidP="006C3ED1">
      <w:pPr>
        <w:rPr>
          <w:b/>
          <w:bCs/>
        </w:rPr>
      </w:pPr>
      <w:r w:rsidRPr="006C3ED1">
        <w:rPr>
          <w:b/>
          <w:bCs/>
        </w:rPr>
        <w:t>Pension reserves</w:t>
      </w:r>
    </w:p>
    <w:p w14:paraId="0A1BEE59" w14:textId="0C710E50" w:rsidR="006C3ED1" w:rsidRPr="00FF2156" w:rsidRDefault="006C3ED1" w:rsidP="006C3ED1">
      <w:r w:rsidRPr="00FF2156">
        <w:t xml:space="preserve">The risks surrounding pension liabilities will be taken into account when calculating the minimum and maximum levels of reserves stated in </w:t>
      </w:r>
      <w:hyperlink w:anchor="_Managing_reserves" w:history="1">
        <w:r w:rsidR="00456FA6" w:rsidRPr="00456FA6">
          <w:rPr>
            <w:rStyle w:val="Hyperlink"/>
          </w:rPr>
          <w:t>section 5</w:t>
        </w:r>
      </w:hyperlink>
      <w:r w:rsidRPr="00FF2156">
        <w:t>.</w:t>
      </w:r>
    </w:p>
    <w:p w14:paraId="6C9393F6" w14:textId="77777777" w:rsidR="006C3ED1" w:rsidRPr="00FF2156" w:rsidRDefault="006C3ED1" w:rsidP="006C3ED1">
      <w:r w:rsidRPr="00FF2156">
        <w:t>The board of trustees will assess the required pension contributions from projected future income without significantly impacting its planned level of activity.</w:t>
      </w:r>
    </w:p>
    <w:p w14:paraId="74A03714" w14:textId="5388AB34" w:rsidR="006C3ED1" w:rsidRPr="00FF2156" w:rsidRDefault="006C3ED1" w:rsidP="006C3ED1">
      <w:r w:rsidRPr="00FF2156">
        <w:t xml:space="preserve">The </w:t>
      </w:r>
      <w:r w:rsidR="003D473E">
        <w:t>T</w:t>
      </w:r>
      <w:r w:rsidRPr="00FF2156">
        <w:t>rust aims to calculate its reserves without the need to set aside a designated reserve to cover pension liability.</w:t>
      </w:r>
    </w:p>
    <w:p w14:paraId="2C956B27" w14:textId="5BFFCCFC" w:rsidR="0051413A" w:rsidRDefault="0051413A" w:rsidP="0051413A">
      <w:pPr>
        <w:pStyle w:val="Heading10"/>
      </w:pPr>
      <w:bookmarkStart w:id="6" w:name="_Managing_reserves"/>
      <w:bookmarkEnd w:id="6"/>
      <w:r>
        <w:t>Managing reserves</w:t>
      </w:r>
    </w:p>
    <w:p w14:paraId="5549BC7D" w14:textId="166D8D80" w:rsidR="0051413A" w:rsidRPr="00FF2156" w:rsidRDefault="0051413A" w:rsidP="0051413A">
      <w:r w:rsidRPr="00FF2156">
        <w:t xml:space="preserve">The board of trustees will identify why the </w:t>
      </w:r>
      <w:r w:rsidR="003D473E">
        <w:t>T</w:t>
      </w:r>
      <w:r w:rsidRPr="00FF2156">
        <w:t>rust should hold reserves and, having identified its needs, will decide how much should be held to meet them.</w:t>
      </w:r>
    </w:p>
    <w:p w14:paraId="08D0E0F4" w14:textId="31C25507" w:rsidR="0051413A" w:rsidRPr="00FF2156" w:rsidRDefault="0051413A" w:rsidP="0051413A">
      <w:r w:rsidRPr="00FF2156">
        <w:lastRenderedPageBreak/>
        <w:t xml:space="preserve">The financial risk to the </w:t>
      </w:r>
      <w:r w:rsidR="00B34CB2">
        <w:t>T</w:t>
      </w:r>
      <w:r w:rsidRPr="00FF2156">
        <w:t>rust will be balanced alongside our vision to maintain the highest levels of education.</w:t>
      </w:r>
    </w:p>
    <w:p w14:paraId="0DC80091" w14:textId="72A7E308" w:rsidR="0051413A" w:rsidRPr="00FF2156" w:rsidRDefault="0051413A" w:rsidP="0051413A">
      <w:bookmarkStart w:id="7" w:name="maximum"/>
      <w:bookmarkEnd w:id="7"/>
      <w:r w:rsidRPr="00FF2156">
        <w:t xml:space="preserve">The </w:t>
      </w:r>
      <w:r w:rsidR="00B34CB2">
        <w:t>T</w:t>
      </w:r>
      <w:r w:rsidRPr="00FF2156">
        <w:t>rust will hold a minimum reserve of</w:t>
      </w:r>
      <w:r w:rsidR="008D1F5F">
        <w:t xml:space="preserve"> </w:t>
      </w:r>
      <w:r w:rsidR="00336C71" w:rsidRPr="00150AE9">
        <w:t>6</w:t>
      </w:r>
      <w:r w:rsidR="008D1F5F" w:rsidRPr="00150AE9">
        <w:t>% and a maximum of 1</w:t>
      </w:r>
      <w:r w:rsidR="00336C71" w:rsidRPr="00150AE9">
        <w:t>2</w:t>
      </w:r>
      <w:r w:rsidR="008D1F5F" w:rsidRPr="00150AE9">
        <w:t>%</w:t>
      </w:r>
      <w:r w:rsidR="008D1F5F">
        <w:t xml:space="preserve"> of the General Annual Grant (GAG) income</w:t>
      </w:r>
      <w:bookmarkStart w:id="8" w:name="minimum"/>
      <w:bookmarkEnd w:id="8"/>
      <w:r w:rsidRPr="00FF2156">
        <w:t>.</w:t>
      </w:r>
    </w:p>
    <w:p w14:paraId="4CCA610A" w14:textId="35D8F971" w:rsidR="0051413A" w:rsidRPr="00FF2156" w:rsidRDefault="0051413A" w:rsidP="0051413A">
      <w:r w:rsidRPr="00FF2156">
        <w:t>Reserves will be reviewed and monitored by the board of trustees on a</w:t>
      </w:r>
      <w:r w:rsidR="008D1F5F">
        <w:t>n annual</w:t>
      </w:r>
      <w:r w:rsidRPr="00FF2156">
        <w:t xml:space="preserve"> basis to identify any trends in spending and to rectify issues where they arise.</w:t>
      </w:r>
    </w:p>
    <w:p w14:paraId="0AF9967A" w14:textId="2908ED17" w:rsidR="0051413A" w:rsidRPr="00FF2156" w:rsidRDefault="0051413A" w:rsidP="0051413A">
      <w:r w:rsidRPr="00FF2156">
        <w:t xml:space="preserve">Reserves in excess of the maximum limit will be reviewed by the board of trustees, who may release funds into the revenue budget in furtherance of the </w:t>
      </w:r>
      <w:r w:rsidR="00B34CB2">
        <w:t>T</w:t>
      </w:r>
      <w:r w:rsidRPr="00FF2156">
        <w:t xml:space="preserve">rust’s objectives or re-invest the funds to generate extra income for the </w:t>
      </w:r>
      <w:r w:rsidR="00B34CB2">
        <w:t>T</w:t>
      </w:r>
      <w:r w:rsidRPr="00FF2156">
        <w:t>rust’s activities.</w:t>
      </w:r>
    </w:p>
    <w:p w14:paraId="240E71A2" w14:textId="07F44462" w:rsidR="0051413A" w:rsidRPr="00FF2156" w:rsidRDefault="0051413A" w:rsidP="0051413A">
      <w:r w:rsidRPr="00FF2156">
        <w:t xml:space="preserve">The movement of funds to and from the reserve budget will be at the discretion of the board of trustees, or the </w:t>
      </w:r>
      <w:r w:rsidR="008D1F5F">
        <w:t xml:space="preserve">resources </w:t>
      </w:r>
      <w:r w:rsidRPr="00FF2156">
        <w:t>committee where delegated authority has been provided.</w:t>
      </w:r>
    </w:p>
    <w:p w14:paraId="150E4090" w14:textId="56437F06" w:rsidR="00367DF7" w:rsidRDefault="00367DF7" w:rsidP="00367DF7">
      <w:pPr>
        <w:pStyle w:val="Heading10"/>
      </w:pPr>
      <w:bookmarkStart w:id="9" w:name="_Investment"/>
      <w:bookmarkStart w:id="10" w:name="_Reporting"/>
      <w:bookmarkEnd w:id="9"/>
      <w:bookmarkEnd w:id="10"/>
      <w:r>
        <w:t>Reporting</w:t>
      </w:r>
    </w:p>
    <w:p w14:paraId="39BBEAB4" w14:textId="1270DA41" w:rsidR="00367DF7" w:rsidRPr="00FF2156" w:rsidRDefault="00367DF7" w:rsidP="00367DF7">
      <w:r w:rsidRPr="00FF2156">
        <w:t xml:space="preserve">The board of trustees will have due regard for the </w:t>
      </w:r>
      <w:hyperlink r:id="rId12" w:history="1">
        <w:r w:rsidRPr="00FF2156">
          <w:rPr>
            <w:rStyle w:val="Hyperlink"/>
          </w:rPr>
          <w:t>Academies Accounts Direction</w:t>
        </w:r>
      </w:hyperlink>
      <w:r w:rsidRPr="00FF2156">
        <w:t xml:space="preserve"> guidance at all times. </w:t>
      </w:r>
    </w:p>
    <w:p w14:paraId="7927BED3" w14:textId="77777777" w:rsidR="00367DF7" w:rsidRPr="00FF2156" w:rsidRDefault="00367DF7" w:rsidP="00367DF7">
      <w:r w:rsidRPr="00FF2156">
        <w:t>The board of trustees will disclose in its annual report its policy for building and maintaining reserves and investments, and the following information:</w:t>
      </w:r>
    </w:p>
    <w:p w14:paraId="04D090C7" w14:textId="77777777" w:rsidR="00367DF7" w:rsidRPr="00FF2156" w:rsidRDefault="00367DF7" w:rsidP="00367DF7">
      <w:pPr>
        <w:pStyle w:val="ListParagraph"/>
        <w:numPr>
          <w:ilvl w:val="0"/>
          <w:numId w:val="17"/>
        </w:numPr>
      </w:pPr>
      <w:r w:rsidRPr="00FF2156">
        <w:t>Why reserves are held</w:t>
      </w:r>
    </w:p>
    <w:p w14:paraId="504ED9F7" w14:textId="77777777" w:rsidR="00367DF7" w:rsidRPr="00FF2156" w:rsidRDefault="00367DF7" w:rsidP="00367DF7">
      <w:pPr>
        <w:pStyle w:val="ListParagraph"/>
        <w:numPr>
          <w:ilvl w:val="0"/>
          <w:numId w:val="17"/>
        </w:numPr>
      </w:pPr>
      <w:r w:rsidRPr="00FF2156">
        <w:t>The amount or range of reserves that are held at the end of the year</w:t>
      </w:r>
    </w:p>
    <w:p w14:paraId="7C0CB0FE" w14:textId="7AF89B37" w:rsidR="00367DF7" w:rsidRPr="00FF2156" w:rsidRDefault="00367DF7" w:rsidP="00367DF7">
      <w:pPr>
        <w:pStyle w:val="ListParagraph"/>
        <w:numPr>
          <w:ilvl w:val="0"/>
          <w:numId w:val="17"/>
        </w:numPr>
      </w:pPr>
      <w:r w:rsidRPr="00FF2156">
        <w:t xml:space="preserve">How the </w:t>
      </w:r>
      <w:r w:rsidR="00B34CB2">
        <w:t>T</w:t>
      </w:r>
      <w:r w:rsidRPr="00FF2156">
        <w:t>rust aims to achieve its desired amount of reserves</w:t>
      </w:r>
    </w:p>
    <w:p w14:paraId="0DEEFF6E" w14:textId="55105C49" w:rsidR="00367DF7" w:rsidRPr="00FF2156" w:rsidRDefault="00367DF7" w:rsidP="00367DF7">
      <w:pPr>
        <w:pStyle w:val="ListParagraph"/>
        <w:numPr>
          <w:ilvl w:val="0"/>
          <w:numId w:val="17"/>
        </w:numPr>
      </w:pPr>
      <w:r w:rsidRPr="00FF2156">
        <w:t xml:space="preserve">How the </w:t>
      </w:r>
      <w:r w:rsidR="00B34CB2">
        <w:t>T</w:t>
      </w:r>
      <w:r w:rsidRPr="00FF2156">
        <w:t>rust plans to raise the amount of reserves held, where they are below the minimum level</w:t>
      </w:r>
    </w:p>
    <w:p w14:paraId="24C9DBE1" w14:textId="7F9B7544" w:rsidR="00367DF7" w:rsidRPr="00FF2156" w:rsidRDefault="00367DF7" w:rsidP="00367DF7">
      <w:pPr>
        <w:pStyle w:val="ListParagraph"/>
        <w:numPr>
          <w:ilvl w:val="0"/>
          <w:numId w:val="17"/>
        </w:numPr>
      </w:pPr>
      <w:r w:rsidRPr="00FF2156">
        <w:t xml:space="preserve">How the </w:t>
      </w:r>
      <w:r w:rsidR="00B34CB2">
        <w:t>T</w:t>
      </w:r>
      <w:r w:rsidRPr="00FF2156">
        <w:t>rust plans to better utilise the amount of reserves in the future, where they are in excess of the maximum level</w:t>
      </w:r>
    </w:p>
    <w:p w14:paraId="0C65516A" w14:textId="16ECC6BB" w:rsidR="00367DF7" w:rsidRPr="00FF2156" w:rsidRDefault="00367DF7" w:rsidP="008D1F5F">
      <w:pPr>
        <w:pStyle w:val="ListParagraph"/>
        <w:numPr>
          <w:ilvl w:val="0"/>
          <w:numId w:val="17"/>
        </w:numPr>
      </w:pPr>
      <w:r w:rsidRPr="00FF2156">
        <w:t>Details of the circumstances giving rise to any deficit and the steps being taken to eliminate it</w:t>
      </w:r>
    </w:p>
    <w:p w14:paraId="2F3B8931" w14:textId="714AD35D" w:rsidR="00367DF7" w:rsidRDefault="00367DF7" w:rsidP="00367DF7">
      <w:pPr>
        <w:pStyle w:val="Heading10"/>
      </w:pPr>
      <w:bookmarkStart w:id="11" w:name="_[MATs_only]_Pooling"/>
      <w:bookmarkEnd w:id="11"/>
      <w:r>
        <w:t>Pooling reserves</w:t>
      </w:r>
    </w:p>
    <w:p w14:paraId="357E1EEA" w14:textId="79384ACF" w:rsidR="0040627E" w:rsidRPr="00FF2156" w:rsidRDefault="00C47812" w:rsidP="0040627E">
      <w:r w:rsidRPr="00C47812">
        <w:t>As one organisation</w:t>
      </w:r>
      <w:r>
        <w:t>,</w:t>
      </w:r>
      <w:r w:rsidRPr="00C47812">
        <w:t xml:space="preserve"> the Trust pools its reserves</w:t>
      </w:r>
      <w:r w:rsidR="00E40C86">
        <w:t xml:space="preserve"> and all funds are retained centrally</w:t>
      </w:r>
      <w:r w:rsidRPr="00C47812">
        <w:t xml:space="preserve">. </w:t>
      </w:r>
      <w:r w:rsidR="0040627E">
        <w:t xml:space="preserve">All funds will be applied to education and the support of education for Trust students in line with the Trust’s charitable objectives. </w:t>
      </w:r>
    </w:p>
    <w:p w14:paraId="27459041" w14:textId="38D9721B" w:rsidR="007210B9" w:rsidRDefault="00073461" w:rsidP="007210B9">
      <w:r>
        <w:t>Pooling reserves</w:t>
      </w:r>
      <w:r w:rsidR="007210B9">
        <w:t xml:space="preserve"> creates a number of benefits for the Trust including</w:t>
      </w:r>
      <w:r w:rsidR="00771B0F">
        <w:t>,</w:t>
      </w:r>
      <w:r w:rsidR="007210B9">
        <w:t xml:space="preserve"> but not limited to</w:t>
      </w:r>
      <w:r w:rsidR="00771B0F">
        <w:t>,</w:t>
      </w:r>
      <w:r w:rsidR="007210B9">
        <w:t xml:space="preserve"> the following:</w:t>
      </w:r>
    </w:p>
    <w:p w14:paraId="32BBE043" w14:textId="0F8B227C" w:rsidR="007210B9" w:rsidRDefault="007210B9" w:rsidP="007210B9">
      <w:pPr>
        <w:pStyle w:val="ListParagraph"/>
        <w:numPr>
          <w:ilvl w:val="0"/>
          <w:numId w:val="19"/>
        </w:numPr>
      </w:pPr>
      <w:r>
        <w:t>Culturally this is a move from ‘my academy’ to ‘all learners in the Trust’</w:t>
      </w:r>
    </w:p>
    <w:p w14:paraId="6ED06EFC" w14:textId="0A0A3A53" w:rsidR="00367DF7" w:rsidRDefault="007210B9" w:rsidP="00556041">
      <w:pPr>
        <w:pStyle w:val="ListParagraph"/>
        <w:numPr>
          <w:ilvl w:val="0"/>
          <w:numId w:val="19"/>
        </w:numPr>
      </w:pPr>
      <w:r>
        <w:t xml:space="preserve">It </w:t>
      </w:r>
      <w:r w:rsidR="00A02466">
        <w:t xml:space="preserve">creates flexibility and </w:t>
      </w:r>
      <w:r>
        <w:t>enables resources to be directed to the areas in most need across the Trust to ensure all learners within our Trust are provided with the best resources possible</w:t>
      </w:r>
    </w:p>
    <w:p w14:paraId="175C51CB" w14:textId="0CF0D4A3" w:rsidR="002C6C45" w:rsidRDefault="00A02466" w:rsidP="002C6C45">
      <w:pPr>
        <w:pStyle w:val="ListParagraph"/>
        <w:numPr>
          <w:ilvl w:val="0"/>
          <w:numId w:val="19"/>
        </w:numPr>
      </w:pPr>
      <w:r>
        <w:t xml:space="preserve">It </w:t>
      </w:r>
      <w:r w:rsidR="002C6C45">
        <w:t>support</w:t>
      </w:r>
      <w:r>
        <w:t>s the</w:t>
      </w:r>
      <w:r w:rsidR="002C6C45">
        <w:t xml:space="preserve"> recovery plans for academies in financial difficulty, strengthening the </w:t>
      </w:r>
      <w:r w:rsidR="00E411B8">
        <w:t>T</w:t>
      </w:r>
      <w:r w:rsidR="002C6C45">
        <w:t>rust’s overall financial sustainability in the medium term</w:t>
      </w:r>
    </w:p>
    <w:p w14:paraId="0A162B3C" w14:textId="49284E35" w:rsidR="002C6C45" w:rsidRPr="00FF2156" w:rsidRDefault="007C1529" w:rsidP="00556041">
      <w:pPr>
        <w:pStyle w:val="ListParagraph"/>
        <w:numPr>
          <w:ilvl w:val="0"/>
          <w:numId w:val="19"/>
        </w:numPr>
      </w:pPr>
      <w:r>
        <w:lastRenderedPageBreak/>
        <w:t xml:space="preserve">It removes the need for every academy </w:t>
      </w:r>
      <w:r w:rsidR="003B4C56">
        <w:t>to maintain a minimum threshold of reserves as a safety net</w:t>
      </w:r>
      <w:r w:rsidR="003479EB">
        <w:t xml:space="preserve">, freeing up funds to use in the interests of </w:t>
      </w:r>
      <w:r w:rsidR="00015163">
        <w:t>learners across the organisation.</w:t>
      </w:r>
    </w:p>
    <w:p w14:paraId="4D3EA7D7" w14:textId="1A607E99" w:rsidR="00367DF7" w:rsidRPr="00FF2156" w:rsidRDefault="00367DF7" w:rsidP="00367DF7">
      <w:r w:rsidRPr="00FF2156">
        <w:t xml:space="preserve">The board of trustees will use pooled reserves from individual academies within the </w:t>
      </w:r>
      <w:r w:rsidR="00E411B8">
        <w:t>T</w:t>
      </w:r>
      <w:r w:rsidRPr="00FF2156">
        <w:t>rust in the following circumstances</w:t>
      </w:r>
      <w:r w:rsidR="001736DC">
        <w:t>:</w:t>
      </w:r>
      <w:r w:rsidRPr="00FF2156">
        <w:t xml:space="preserve"> </w:t>
      </w:r>
    </w:p>
    <w:p w14:paraId="2DBA48C2" w14:textId="77777777" w:rsidR="00367DF7" w:rsidRPr="00FF2156" w:rsidRDefault="00367DF7" w:rsidP="00367DF7">
      <w:pPr>
        <w:pStyle w:val="ListParagraph"/>
        <w:numPr>
          <w:ilvl w:val="0"/>
          <w:numId w:val="18"/>
        </w:numPr>
      </w:pPr>
      <w:r w:rsidRPr="00FF2156">
        <w:t>To direct funds to specific academies which are required to raise educational standards.</w:t>
      </w:r>
    </w:p>
    <w:p w14:paraId="5E85FC0A" w14:textId="77777777" w:rsidR="00367DF7" w:rsidRPr="00FF2156" w:rsidRDefault="00367DF7" w:rsidP="00367DF7">
      <w:pPr>
        <w:pStyle w:val="ListParagraph"/>
        <w:numPr>
          <w:ilvl w:val="0"/>
          <w:numId w:val="18"/>
        </w:numPr>
      </w:pPr>
      <w:r w:rsidRPr="00FF2156">
        <w:t>To direct funds to academies which require investment in facilities.</w:t>
      </w:r>
    </w:p>
    <w:p w14:paraId="5522E300" w14:textId="464A5D58" w:rsidR="00367DF7" w:rsidRDefault="00367DF7" w:rsidP="00367DF7">
      <w:pPr>
        <w:pStyle w:val="ListParagraph"/>
        <w:numPr>
          <w:ilvl w:val="0"/>
          <w:numId w:val="18"/>
        </w:numPr>
      </w:pPr>
      <w:r w:rsidRPr="00FF2156">
        <w:t xml:space="preserve">To direct funds to facilitate the policies of the </w:t>
      </w:r>
      <w:r w:rsidR="00E411B8">
        <w:t>T</w:t>
      </w:r>
      <w:r w:rsidRPr="00FF2156">
        <w:t xml:space="preserve">rust which are being implemented to support the </w:t>
      </w:r>
      <w:r w:rsidR="00E411B8">
        <w:t>T</w:t>
      </w:r>
      <w:r w:rsidRPr="00FF2156">
        <w:t>rust’s vision.</w:t>
      </w:r>
    </w:p>
    <w:p w14:paraId="39B0A548" w14:textId="126208C9" w:rsidR="00DB5408" w:rsidRPr="00FF2156" w:rsidRDefault="00DB5408" w:rsidP="00DB5408">
      <w:r>
        <w:t xml:space="preserve">It should be noted that each individual academy </w:t>
      </w:r>
      <w:r w:rsidR="001A3F84">
        <w:t xml:space="preserve">is expected to ‘live within its means’ i.e. set and maintain a budget </w:t>
      </w:r>
      <w:r w:rsidR="007B5EE6">
        <w:t>that does not exceed its annual income</w:t>
      </w:r>
      <w:r w:rsidR="00EA7E7E">
        <w:t xml:space="preserve">. Funds from trust reserves </w:t>
      </w:r>
      <w:r w:rsidR="00FC2226">
        <w:t xml:space="preserve">may be allocated according to the reasons above, but will not </w:t>
      </w:r>
      <w:r w:rsidR="00A32314">
        <w:t>be used to sustain staffing structures that</w:t>
      </w:r>
      <w:r w:rsidR="00D86888">
        <w:t xml:space="preserve"> cannot be funded from the </w:t>
      </w:r>
      <w:r w:rsidR="00E34B6E">
        <w:t>an academy’s own income.</w:t>
      </w:r>
    </w:p>
    <w:p w14:paraId="10AA5F22" w14:textId="35ADDFEE" w:rsidR="00D24D54" w:rsidRDefault="00D24D54" w:rsidP="00D24D54">
      <w:r>
        <w:t xml:space="preserve">The Trust must have due regard to the needs of each individual academy and </w:t>
      </w:r>
      <w:r w:rsidR="003E600B">
        <w:t>there is</w:t>
      </w:r>
      <w:r>
        <w:t xml:space="preserve"> an appeals mechanism in place. If an individual academy’s Principal feels that the academy has been unfairly treated in relation to </w:t>
      </w:r>
      <w:r w:rsidR="003E600B">
        <w:t>use of pooled reserves</w:t>
      </w:r>
      <w:r>
        <w:t xml:space="preserve">, they should first appeal to the Trust. If the Academy Principal’s grievance is not resolved, they may then appeal to the Secretary of State for Education, whose decision will be final and who may dis-apply the provisions for pooling in relation to the </w:t>
      </w:r>
      <w:r w:rsidR="008A5EE1">
        <w:t>Trust</w:t>
      </w:r>
      <w:r>
        <w:t xml:space="preserve">. </w:t>
      </w:r>
    </w:p>
    <w:p w14:paraId="6FB71505" w14:textId="77777777" w:rsidR="0052129C" w:rsidRDefault="00D24D54" w:rsidP="00D24D54">
      <w:r>
        <w:t xml:space="preserve">Pooling </w:t>
      </w:r>
      <w:r w:rsidR="004F630E">
        <w:t>reserve</w:t>
      </w:r>
      <w:r>
        <w:t xml:space="preserve">s carried forward allows the Trust to respond more effectively to its priorities. It is acknowledged that as a consequence of following this policy the offer to new academies needs to be clear and strong. </w:t>
      </w:r>
    </w:p>
    <w:p w14:paraId="02127981" w14:textId="25E96BEC" w:rsidR="0052129C" w:rsidRDefault="0052129C" w:rsidP="00D24D54">
      <w:r>
        <w:t xml:space="preserve">To this end, </w:t>
      </w:r>
      <w:r w:rsidR="000D0631">
        <w:t xml:space="preserve">the Trust will honour projects </w:t>
      </w:r>
      <w:r w:rsidR="00E32A07">
        <w:t>earmarked for use of reserves at the point of conversion</w:t>
      </w:r>
      <w:r w:rsidR="00EF0D34">
        <w:t xml:space="preserve">, </w:t>
      </w:r>
      <w:r w:rsidR="00CB556B">
        <w:t xml:space="preserve">on </w:t>
      </w:r>
      <w:r w:rsidR="00F67BA3">
        <w:t xml:space="preserve">the </w:t>
      </w:r>
      <w:r w:rsidR="00CB556B">
        <w:t xml:space="preserve">proviso that </w:t>
      </w:r>
      <w:r w:rsidR="00F520E6">
        <w:t xml:space="preserve">(where this level of reserves exists) </w:t>
      </w:r>
      <w:r w:rsidR="00F67BA3">
        <w:t xml:space="preserve">funds representing the equivalent </w:t>
      </w:r>
      <w:r w:rsidR="00BB47B0">
        <w:t xml:space="preserve">of </w:t>
      </w:r>
      <w:r w:rsidR="00FC717D">
        <w:t>6% of the existing</w:t>
      </w:r>
      <w:r w:rsidR="000737BA">
        <w:t xml:space="preserve"> reserves</w:t>
      </w:r>
      <w:r w:rsidR="00BB47B0">
        <w:t xml:space="preserve"> for the academy</w:t>
      </w:r>
      <w:r w:rsidR="009145AF">
        <w:t xml:space="preserve"> are committed to the overall reserves of the Pennine Trust.</w:t>
      </w:r>
    </w:p>
    <w:p w14:paraId="3D295317" w14:textId="696FC104" w:rsidR="00367DF7" w:rsidRDefault="00367DF7" w:rsidP="00367DF7">
      <w:pPr>
        <w:pStyle w:val="Heading10"/>
      </w:pPr>
      <w:bookmarkStart w:id="12" w:name="_Monitoring_and_review"/>
      <w:bookmarkEnd w:id="12"/>
      <w:r>
        <w:t>Monitoring and review</w:t>
      </w:r>
    </w:p>
    <w:p w14:paraId="18D00C4E" w14:textId="4A3F482B" w:rsidR="006C3ED1" w:rsidRPr="006C3ED1" w:rsidRDefault="00367DF7" w:rsidP="006C3ED1">
      <w:r w:rsidRPr="00FF2156">
        <w:t xml:space="preserve">This policy will be reviewed </w:t>
      </w:r>
      <w:r w:rsidR="005F4394">
        <w:t xml:space="preserve">and approved annually by the resources committee on behalf of the </w:t>
      </w:r>
      <w:r w:rsidRPr="00FF2156">
        <w:t>board of trustees</w:t>
      </w:r>
      <w:bookmarkStart w:id="13" w:name="_Definition"/>
      <w:bookmarkEnd w:id="13"/>
      <w:r w:rsidR="008D1F5F">
        <w:t>.</w:t>
      </w:r>
    </w:p>
    <w:sectPr w:rsidR="006C3ED1" w:rsidRPr="006C3ED1" w:rsidSect="00DD65B4">
      <w:headerReference w:type="default" r:id="rId13"/>
      <w:headerReference w:type="first" r:id="rId14"/>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CFB5" w14:textId="77777777" w:rsidR="00C63E85" w:rsidRDefault="00C63E85" w:rsidP="00AD4155">
      <w:r>
        <w:separator/>
      </w:r>
    </w:p>
  </w:endnote>
  <w:endnote w:type="continuationSeparator" w:id="0">
    <w:p w14:paraId="0DEE6224" w14:textId="77777777" w:rsidR="00C63E85" w:rsidRDefault="00C63E85" w:rsidP="00AD4155">
      <w:r>
        <w:continuationSeparator/>
      </w:r>
    </w:p>
  </w:endnote>
  <w:endnote w:type="continuationNotice" w:id="1">
    <w:p w14:paraId="2F2847F9" w14:textId="77777777" w:rsidR="00C63E85" w:rsidRDefault="00C63E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3B355D04-DCD9-4911-9D1E-B9FB0B7EA9A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8E507" w14:textId="77777777" w:rsidR="00C63E85" w:rsidRDefault="00C63E85" w:rsidP="00AD4155">
      <w:r>
        <w:separator/>
      </w:r>
    </w:p>
  </w:footnote>
  <w:footnote w:type="continuationSeparator" w:id="0">
    <w:p w14:paraId="26A476B7" w14:textId="77777777" w:rsidR="00C63E85" w:rsidRDefault="00C63E85" w:rsidP="00AD4155">
      <w:r>
        <w:continuationSeparator/>
      </w:r>
    </w:p>
  </w:footnote>
  <w:footnote w:type="continuationNotice" w:id="1">
    <w:p w14:paraId="3BBCB93C" w14:textId="77777777" w:rsidR="00C63E85" w:rsidRDefault="00C63E8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2727787D" w:rsidR="00D4425F" w:rsidRDefault="00DD65B4">
    <w:pPr>
      <w:pStyle w:val="Header"/>
    </w:pPr>
    <w:r>
      <w:rPr>
        <w:noProof/>
      </w:rPr>
      <w:drawing>
        <wp:anchor distT="0" distB="0" distL="114300" distR="114300" simplePos="0" relativeHeight="251659264" behindDoc="0" locked="0" layoutInCell="1" allowOverlap="1" wp14:anchorId="30461D24" wp14:editId="737757B0">
          <wp:simplePos x="0" y="0"/>
          <wp:positionH relativeFrom="page">
            <wp:align>right</wp:align>
          </wp:positionH>
          <wp:positionV relativeFrom="paragraph">
            <wp:posOffset>-450215</wp:posOffset>
          </wp:positionV>
          <wp:extent cx="7553325" cy="10683946"/>
          <wp:effectExtent l="0" t="0" r="0" b="3175"/>
          <wp:wrapNone/>
          <wp:docPr id="1" name="Picture 1" descr="Shape, treemap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treemap 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946"/>
                  </a:xfrm>
                  <a:prstGeom prst="rect">
                    <a:avLst/>
                  </a:prstGeom>
                </pic:spPr>
              </pic:pic>
            </a:graphicData>
          </a:graphic>
          <wp14:sizeRelH relativeFrom="margin">
            <wp14:pctWidth>0</wp14:pctWidth>
          </wp14:sizeRelH>
          <wp14:sizeRelV relativeFrom="margin">
            <wp14:pctHeight>0</wp14:pctHeight>
          </wp14:sizeRelV>
        </wp:anchor>
      </w:drawing>
    </w:r>
    <w:r w:rsidR="00D4425F">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5F5412"/>
    <w:multiLevelType w:val="hybridMultilevel"/>
    <w:tmpl w:val="FBE40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87BFC"/>
    <w:multiLevelType w:val="hybridMultilevel"/>
    <w:tmpl w:val="70FC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13808"/>
    <w:multiLevelType w:val="hybridMultilevel"/>
    <w:tmpl w:val="A27A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060CF"/>
    <w:multiLevelType w:val="hybridMultilevel"/>
    <w:tmpl w:val="4318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6022B"/>
    <w:multiLevelType w:val="hybridMultilevel"/>
    <w:tmpl w:val="A8F4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7C621AEA"/>
    <w:numStyleLink w:val="Style1"/>
  </w:abstractNum>
  <w:abstractNum w:abstractNumId="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55AB599E"/>
    <w:multiLevelType w:val="hybridMultilevel"/>
    <w:tmpl w:val="9628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62407888"/>
    <w:multiLevelType w:val="hybridMultilevel"/>
    <w:tmpl w:val="46C091BC"/>
    <w:lvl w:ilvl="0" w:tplc="62AE3C2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68E2199"/>
    <w:multiLevelType w:val="hybridMultilevel"/>
    <w:tmpl w:val="4BBC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F7A464C"/>
    <w:multiLevelType w:val="hybridMultilevel"/>
    <w:tmpl w:val="1F0C5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354169">
    <w:abstractNumId w:val="16"/>
  </w:num>
  <w:num w:numId="2" w16cid:durableId="2063825761">
    <w:abstractNumId w:val="17"/>
  </w:num>
  <w:num w:numId="3" w16cid:durableId="1648512401">
    <w:abstractNumId w:val="9"/>
  </w:num>
  <w:num w:numId="4" w16cid:durableId="1311985402">
    <w:abstractNumId w:val="0"/>
  </w:num>
  <w:num w:numId="5" w16cid:durableId="92014399">
    <w:abstractNumId w:val="12"/>
  </w:num>
  <w:num w:numId="6" w16cid:durableId="1885672936">
    <w:abstractNumId w:val="15"/>
  </w:num>
  <w:num w:numId="7" w16cid:durableId="677393300">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751777401">
    <w:abstractNumId w:val="10"/>
  </w:num>
  <w:num w:numId="9" w16cid:durableId="1488283979">
    <w:abstractNumId w:val="13"/>
  </w:num>
  <w:num w:numId="10" w16cid:durableId="1867668845">
    <w:abstractNumId w:val="4"/>
  </w:num>
  <w:num w:numId="11" w16cid:durableId="1461800533">
    <w:abstractNumId w:val="5"/>
  </w:num>
  <w:num w:numId="12" w16cid:durableId="2023973720">
    <w:abstractNumId w:val="18"/>
  </w:num>
  <w:num w:numId="13" w16cid:durableId="473790992">
    <w:abstractNumId w:val="1"/>
  </w:num>
  <w:num w:numId="14" w16cid:durableId="226454573">
    <w:abstractNumId w:val="14"/>
  </w:num>
  <w:num w:numId="15" w16cid:durableId="631405840">
    <w:abstractNumId w:val="7"/>
  </w:num>
  <w:num w:numId="16" w16cid:durableId="1519655704">
    <w:abstractNumId w:val="11"/>
  </w:num>
  <w:num w:numId="17" w16cid:durableId="259685584">
    <w:abstractNumId w:val="3"/>
  </w:num>
  <w:num w:numId="18" w16cid:durableId="1617329618">
    <w:abstractNumId w:val="6"/>
  </w:num>
  <w:num w:numId="19" w16cid:durableId="164346130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5163"/>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3461"/>
    <w:rsid w:val="000737BA"/>
    <w:rsid w:val="00074C8C"/>
    <w:rsid w:val="00080091"/>
    <w:rsid w:val="00080783"/>
    <w:rsid w:val="00082668"/>
    <w:rsid w:val="00082A19"/>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31"/>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0AE9"/>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36DC"/>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3F84"/>
    <w:rsid w:val="001A42F0"/>
    <w:rsid w:val="001A49C2"/>
    <w:rsid w:val="001A4B45"/>
    <w:rsid w:val="001A4BE7"/>
    <w:rsid w:val="001A5C40"/>
    <w:rsid w:val="001A6604"/>
    <w:rsid w:val="001A6811"/>
    <w:rsid w:val="001A79FA"/>
    <w:rsid w:val="001B0D61"/>
    <w:rsid w:val="001B176A"/>
    <w:rsid w:val="001B290B"/>
    <w:rsid w:val="001B2B9B"/>
    <w:rsid w:val="001B4BEB"/>
    <w:rsid w:val="001B60C3"/>
    <w:rsid w:val="001B76C4"/>
    <w:rsid w:val="001B787C"/>
    <w:rsid w:val="001C0534"/>
    <w:rsid w:val="001C173E"/>
    <w:rsid w:val="001C181C"/>
    <w:rsid w:val="001C3BD6"/>
    <w:rsid w:val="001C3D56"/>
    <w:rsid w:val="001C55C2"/>
    <w:rsid w:val="001C6D2B"/>
    <w:rsid w:val="001C6FFE"/>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17E1"/>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2012"/>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6C45"/>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668"/>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6C71"/>
    <w:rsid w:val="00340AA1"/>
    <w:rsid w:val="003436AA"/>
    <w:rsid w:val="0034785B"/>
    <w:rsid w:val="003479EB"/>
    <w:rsid w:val="00350000"/>
    <w:rsid w:val="0035319B"/>
    <w:rsid w:val="003537FB"/>
    <w:rsid w:val="003572E2"/>
    <w:rsid w:val="003573B4"/>
    <w:rsid w:val="00357E5F"/>
    <w:rsid w:val="00360133"/>
    <w:rsid w:val="00360212"/>
    <w:rsid w:val="00361211"/>
    <w:rsid w:val="00361A70"/>
    <w:rsid w:val="003625AB"/>
    <w:rsid w:val="00366529"/>
    <w:rsid w:val="00367DF7"/>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4C56"/>
    <w:rsid w:val="003B5119"/>
    <w:rsid w:val="003B628D"/>
    <w:rsid w:val="003B7AAC"/>
    <w:rsid w:val="003C0592"/>
    <w:rsid w:val="003C170E"/>
    <w:rsid w:val="003C35A4"/>
    <w:rsid w:val="003C3C79"/>
    <w:rsid w:val="003C3F23"/>
    <w:rsid w:val="003C4278"/>
    <w:rsid w:val="003D4488"/>
    <w:rsid w:val="003D473E"/>
    <w:rsid w:val="003D4877"/>
    <w:rsid w:val="003D4CAA"/>
    <w:rsid w:val="003D5965"/>
    <w:rsid w:val="003D6EF1"/>
    <w:rsid w:val="003D7107"/>
    <w:rsid w:val="003E0A1D"/>
    <w:rsid w:val="003E0F1E"/>
    <w:rsid w:val="003E1EBC"/>
    <w:rsid w:val="003E2874"/>
    <w:rsid w:val="003E32E1"/>
    <w:rsid w:val="003E4129"/>
    <w:rsid w:val="003E50AF"/>
    <w:rsid w:val="003E600B"/>
    <w:rsid w:val="003E72B4"/>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0627E"/>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6FA6"/>
    <w:rsid w:val="0045782A"/>
    <w:rsid w:val="004578B1"/>
    <w:rsid w:val="00460121"/>
    <w:rsid w:val="00461A99"/>
    <w:rsid w:val="00461D57"/>
    <w:rsid w:val="00462C4F"/>
    <w:rsid w:val="00462F96"/>
    <w:rsid w:val="00463E04"/>
    <w:rsid w:val="00464A54"/>
    <w:rsid w:val="00465987"/>
    <w:rsid w:val="00466259"/>
    <w:rsid w:val="004718CD"/>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73E"/>
    <w:rsid w:val="00491F60"/>
    <w:rsid w:val="00492F05"/>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4F630E"/>
    <w:rsid w:val="005006F3"/>
    <w:rsid w:val="00500B97"/>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413A"/>
    <w:rsid w:val="00515448"/>
    <w:rsid w:val="00516B68"/>
    <w:rsid w:val="00517BCF"/>
    <w:rsid w:val="0052129C"/>
    <w:rsid w:val="00521F41"/>
    <w:rsid w:val="00522DC2"/>
    <w:rsid w:val="005237F3"/>
    <w:rsid w:val="00525284"/>
    <w:rsid w:val="005267A5"/>
    <w:rsid w:val="00527A84"/>
    <w:rsid w:val="0053432F"/>
    <w:rsid w:val="00537C1D"/>
    <w:rsid w:val="00537FAA"/>
    <w:rsid w:val="00540DFC"/>
    <w:rsid w:val="00544074"/>
    <w:rsid w:val="00544310"/>
    <w:rsid w:val="0055140F"/>
    <w:rsid w:val="00551A23"/>
    <w:rsid w:val="00556041"/>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2C4E"/>
    <w:rsid w:val="005C31A9"/>
    <w:rsid w:val="005C4CDA"/>
    <w:rsid w:val="005C6C9E"/>
    <w:rsid w:val="005C7483"/>
    <w:rsid w:val="005C7B10"/>
    <w:rsid w:val="005D0C3A"/>
    <w:rsid w:val="005D169B"/>
    <w:rsid w:val="005D22CD"/>
    <w:rsid w:val="005D3602"/>
    <w:rsid w:val="005D369B"/>
    <w:rsid w:val="005D391F"/>
    <w:rsid w:val="005D4EF0"/>
    <w:rsid w:val="005D5DF7"/>
    <w:rsid w:val="005D6BF0"/>
    <w:rsid w:val="005E041B"/>
    <w:rsid w:val="005E0AC7"/>
    <w:rsid w:val="005E2EAC"/>
    <w:rsid w:val="005E412E"/>
    <w:rsid w:val="005E41A5"/>
    <w:rsid w:val="005E440A"/>
    <w:rsid w:val="005F251C"/>
    <w:rsid w:val="005F292F"/>
    <w:rsid w:val="005F3DFF"/>
    <w:rsid w:val="005F3E9D"/>
    <w:rsid w:val="005F4394"/>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A39"/>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0263"/>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06F"/>
    <w:rsid w:val="006C12C0"/>
    <w:rsid w:val="006C2636"/>
    <w:rsid w:val="006C3085"/>
    <w:rsid w:val="006C3ED1"/>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0B9"/>
    <w:rsid w:val="007211A0"/>
    <w:rsid w:val="00721934"/>
    <w:rsid w:val="0072396F"/>
    <w:rsid w:val="00723DE9"/>
    <w:rsid w:val="007271AF"/>
    <w:rsid w:val="007273E6"/>
    <w:rsid w:val="007307EA"/>
    <w:rsid w:val="007311A9"/>
    <w:rsid w:val="007325DC"/>
    <w:rsid w:val="0073287C"/>
    <w:rsid w:val="00734AB4"/>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2AF9"/>
    <w:rsid w:val="00763F46"/>
    <w:rsid w:val="00764665"/>
    <w:rsid w:val="00764E0C"/>
    <w:rsid w:val="00764EBB"/>
    <w:rsid w:val="00765EA1"/>
    <w:rsid w:val="0076600A"/>
    <w:rsid w:val="00766C6A"/>
    <w:rsid w:val="00766EF5"/>
    <w:rsid w:val="007717B2"/>
    <w:rsid w:val="00771B0F"/>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952BA"/>
    <w:rsid w:val="007A14BB"/>
    <w:rsid w:val="007A17AE"/>
    <w:rsid w:val="007A23C7"/>
    <w:rsid w:val="007A5E50"/>
    <w:rsid w:val="007B104A"/>
    <w:rsid w:val="007B3138"/>
    <w:rsid w:val="007B3740"/>
    <w:rsid w:val="007B4852"/>
    <w:rsid w:val="007B5569"/>
    <w:rsid w:val="007B557B"/>
    <w:rsid w:val="007B5EE6"/>
    <w:rsid w:val="007B72E5"/>
    <w:rsid w:val="007B7CB6"/>
    <w:rsid w:val="007B7E11"/>
    <w:rsid w:val="007C0E8C"/>
    <w:rsid w:val="007C1529"/>
    <w:rsid w:val="007C1667"/>
    <w:rsid w:val="007C5E1B"/>
    <w:rsid w:val="007C5F5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5EE1"/>
    <w:rsid w:val="008A6C9A"/>
    <w:rsid w:val="008A7EF8"/>
    <w:rsid w:val="008B1A81"/>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1F5F"/>
    <w:rsid w:val="008D20E8"/>
    <w:rsid w:val="008D4F9D"/>
    <w:rsid w:val="008D5269"/>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4D51"/>
    <w:rsid w:val="00905E36"/>
    <w:rsid w:val="00906C91"/>
    <w:rsid w:val="00906D77"/>
    <w:rsid w:val="00911CD5"/>
    <w:rsid w:val="00912426"/>
    <w:rsid w:val="009145AF"/>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4BB2"/>
    <w:rsid w:val="00965A1D"/>
    <w:rsid w:val="00965E82"/>
    <w:rsid w:val="00965F27"/>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3B5A"/>
    <w:rsid w:val="009F5952"/>
    <w:rsid w:val="009F5AFC"/>
    <w:rsid w:val="00A02466"/>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2314"/>
    <w:rsid w:val="00A33F35"/>
    <w:rsid w:val="00A34652"/>
    <w:rsid w:val="00A36509"/>
    <w:rsid w:val="00A41109"/>
    <w:rsid w:val="00A460CB"/>
    <w:rsid w:val="00A463D8"/>
    <w:rsid w:val="00A47696"/>
    <w:rsid w:val="00A505FC"/>
    <w:rsid w:val="00A50774"/>
    <w:rsid w:val="00A547CF"/>
    <w:rsid w:val="00A57973"/>
    <w:rsid w:val="00A61CB9"/>
    <w:rsid w:val="00A6540D"/>
    <w:rsid w:val="00A6607C"/>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6115"/>
    <w:rsid w:val="00B3009C"/>
    <w:rsid w:val="00B3258C"/>
    <w:rsid w:val="00B32F87"/>
    <w:rsid w:val="00B332ED"/>
    <w:rsid w:val="00B33428"/>
    <w:rsid w:val="00B338FD"/>
    <w:rsid w:val="00B340EB"/>
    <w:rsid w:val="00B34C63"/>
    <w:rsid w:val="00B34CB2"/>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47B0"/>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2934"/>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47812"/>
    <w:rsid w:val="00C50E27"/>
    <w:rsid w:val="00C51A46"/>
    <w:rsid w:val="00C53416"/>
    <w:rsid w:val="00C5369D"/>
    <w:rsid w:val="00C54B21"/>
    <w:rsid w:val="00C55C33"/>
    <w:rsid w:val="00C562AD"/>
    <w:rsid w:val="00C570D7"/>
    <w:rsid w:val="00C61466"/>
    <w:rsid w:val="00C621F2"/>
    <w:rsid w:val="00C63E85"/>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97B8C"/>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B556B"/>
    <w:rsid w:val="00CC0F01"/>
    <w:rsid w:val="00CC1340"/>
    <w:rsid w:val="00CC5483"/>
    <w:rsid w:val="00CC7A35"/>
    <w:rsid w:val="00CD0982"/>
    <w:rsid w:val="00CD1CD7"/>
    <w:rsid w:val="00CD1D2D"/>
    <w:rsid w:val="00CD20CB"/>
    <w:rsid w:val="00CD2975"/>
    <w:rsid w:val="00CD3643"/>
    <w:rsid w:val="00CD3762"/>
    <w:rsid w:val="00CD6227"/>
    <w:rsid w:val="00CD6512"/>
    <w:rsid w:val="00CD7717"/>
    <w:rsid w:val="00CE05E0"/>
    <w:rsid w:val="00CE0960"/>
    <w:rsid w:val="00CE0CF7"/>
    <w:rsid w:val="00CE24C8"/>
    <w:rsid w:val="00CE5026"/>
    <w:rsid w:val="00CE59A7"/>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4D54"/>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6888"/>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408"/>
    <w:rsid w:val="00DB5BF1"/>
    <w:rsid w:val="00DB726C"/>
    <w:rsid w:val="00DC0D22"/>
    <w:rsid w:val="00DC43B4"/>
    <w:rsid w:val="00DC53FB"/>
    <w:rsid w:val="00DC6B61"/>
    <w:rsid w:val="00DC75B6"/>
    <w:rsid w:val="00DC7839"/>
    <w:rsid w:val="00DC7D97"/>
    <w:rsid w:val="00DC7ED7"/>
    <w:rsid w:val="00DD1AB5"/>
    <w:rsid w:val="00DD3C82"/>
    <w:rsid w:val="00DD3CCF"/>
    <w:rsid w:val="00DD3D7E"/>
    <w:rsid w:val="00DD49EC"/>
    <w:rsid w:val="00DD62D6"/>
    <w:rsid w:val="00DD65B4"/>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2A07"/>
    <w:rsid w:val="00E348E5"/>
    <w:rsid w:val="00E34B6E"/>
    <w:rsid w:val="00E40A6E"/>
    <w:rsid w:val="00E40C86"/>
    <w:rsid w:val="00E40CED"/>
    <w:rsid w:val="00E411B8"/>
    <w:rsid w:val="00E41881"/>
    <w:rsid w:val="00E43C66"/>
    <w:rsid w:val="00E44740"/>
    <w:rsid w:val="00E44A37"/>
    <w:rsid w:val="00E44DE2"/>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024"/>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A7E7E"/>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0D34"/>
    <w:rsid w:val="00EF25C6"/>
    <w:rsid w:val="00EF4CC2"/>
    <w:rsid w:val="00EF5B76"/>
    <w:rsid w:val="00EF68C5"/>
    <w:rsid w:val="00EF7EB0"/>
    <w:rsid w:val="00F00AF4"/>
    <w:rsid w:val="00F00CD6"/>
    <w:rsid w:val="00F02293"/>
    <w:rsid w:val="00F0450F"/>
    <w:rsid w:val="00F07361"/>
    <w:rsid w:val="00F07DC1"/>
    <w:rsid w:val="00F11CE5"/>
    <w:rsid w:val="00F12615"/>
    <w:rsid w:val="00F14713"/>
    <w:rsid w:val="00F17B92"/>
    <w:rsid w:val="00F21E78"/>
    <w:rsid w:val="00F22AFA"/>
    <w:rsid w:val="00F2328D"/>
    <w:rsid w:val="00F23F1A"/>
    <w:rsid w:val="00F241CD"/>
    <w:rsid w:val="00F252B1"/>
    <w:rsid w:val="00F26F6A"/>
    <w:rsid w:val="00F27AC8"/>
    <w:rsid w:val="00F27F24"/>
    <w:rsid w:val="00F32AE4"/>
    <w:rsid w:val="00F3346F"/>
    <w:rsid w:val="00F34E4E"/>
    <w:rsid w:val="00F3505B"/>
    <w:rsid w:val="00F36C30"/>
    <w:rsid w:val="00F45733"/>
    <w:rsid w:val="00F45E9D"/>
    <w:rsid w:val="00F4758D"/>
    <w:rsid w:val="00F47DD1"/>
    <w:rsid w:val="00F51AE7"/>
    <w:rsid w:val="00F520E6"/>
    <w:rsid w:val="00F52BC4"/>
    <w:rsid w:val="00F54992"/>
    <w:rsid w:val="00F5549C"/>
    <w:rsid w:val="00F564C3"/>
    <w:rsid w:val="00F56C01"/>
    <w:rsid w:val="00F573A0"/>
    <w:rsid w:val="00F57B98"/>
    <w:rsid w:val="00F57DAD"/>
    <w:rsid w:val="00F61CA5"/>
    <w:rsid w:val="00F6355B"/>
    <w:rsid w:val="00F64AB8"/>
    <w:rsid w:val="00F64C56"/>
    <w:rsid w:val="00F66720"/>
    <w:rsid w:val="00F67BA3"/>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2226"/>
    <w:rsid w:val="00FC3F44"/>
    <w:rsid w:val="00FC48D2"/>
    <w:rsid w:val="00FC6696"/>
    <w:rsid w:val="00FC717D"/>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BA"/>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4DE2764C-87B4-4A61-8727-CCD38E61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3505B"/>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3505B"/>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46682100">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27219876">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academies-accounts-dire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6" ma:contentTypeDescription="Create a new document." ma:contentTypeScope="" ma:versionID="1c689af8b7651148455bf875e8fbe274">
  <xsd:schema xmlns:xsd="http://www.w3.org/2001/XMLSchema" xmlns:xs="http://www.w3.org/2001/XMLSchema" xmlns:p="http://schemas.microsoft.com/office/2006/metadata/properties" xmlns:ns2="46906236-e48f-4c70-b174-af15e4726da8" xmlns:ns3="6ad9c202-6621-467e-8bb9-ce02d7e1069c" targetNamespace="http://schemas.microsoft.com/office/2006/metadata/properties" ma:root="true" ma:fieldsID="4ca15f9a6f5d2e8bdf4a98c1dbcddca6" ns2:_="" ns3:_="">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70C1A-3D64-46FD-B5EE-14B44D61F5BC}">
  <ds:schemaRefs>
    <ds:schemaRef ds:uri="http://schemas.microsoft.com/sharepoint/v3/contenttype/forms"/>
  </ds:schemaRefs>
</ds:datastoreItem>
</file>

<file path=customXml/itemProps2.xml><?xml version="1.0" encoding="utf-8"?>
<ds:datastoreItem xmlns:ds="http://schemas.openxmlformats.org/officeDocument/2006/customXml" ds:itemID="{9D04F820-6993-43A7-8623-57BCEA67C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4FD9E-3B4C-46B7-ABE0-129C14F243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9662</CharactersWithSpaces>
  <SharedDoc>false</SharedDoc>
  <HLinks>
    <vt:vector size="78" baseType="variant">
      <vt:variant>
        <vt:i4>87</vt:i4>
      </vt:variant>
      <vt:variant>
        <vt:i4>36</vt:i4>
      </vt:variant>
      <vt:variant>
        <vt:i4>0</vt:i4>
      </vt:variant>
      <vt:variant>
        <vt:i4>5</vt:i4>
      </vt:variant>
      <vt:variant>
        <vt:lpwstr>https://www.gov.uk/guidance/academies-accounts-direction</vt:lpwstr>
      </vt:variant>
      <vt:variant>
        <vt:lpwstr/>
      </vt:variant>
      <vt:variant>
        <vt:i4>5242951</vt:i4>
      </vt:variant>
      <vt:variant>
        <vt:i4>33</vt:i4>
      </vt:variant>
      <vt:variant>
        <vt:i4>0</vt:i4>
      </vt:variant>
      <vt:variant>
        <vt:i4>5</vt:i4>
      </vt:variant>
      <vt:variant>
        <vt:lpwstr/>
      </vt:variant>
      <vt:variant>
        <vt:lpwstr>_Managing_reserves</vt:lpwstr>
      </vt:variant>
      <vt:variant>
        <vt:i4>5242951</vt:i4>
      </vt:variant>
      <vt:variant>
        <vt:i4>30</vt:i4>
      </vt:variant>
      <vt:variant>
        <vt:i4>0</vt:i4>
      </vt:variant>
      <vt:variant>
        <vt:i4>5</vt:i4>
      </vt:variant>
      <vt:variant>
        <vt:lpwstr/>
      </vt:variant>
      <vt:variant>
        <vt:lpwstr>_Managing_reserves</vt:lpwstr>
      </vt:variant>
      <vt:variant>
        <vt:i4>8257628</vt:i4>
      </vt:variant>
      <vt:variant>
        <vt:i4>27</vt:i4>
      </vt:variant>
      <vt:variant>
        <vt:i4>0</vt:i4>
      </vt:variant>
      <vt:variant>
        <vt:i4>5</vt:i4>
      </vt:variant>
      <vt:variant>
        <vt:lpwstr/>
      </vt:variant>
      <vt:variant>
        <vt:lpwstr>_Monitoring_and_review</vt:lpwstr>
      </vt:variant>
      <vt:variant>
        <vt:i4>393276</vt:i4>
      </vt:variant>
      <vt:variant>
        <vt:i4>24</vt:i4>
      </vt:variant>
      <vt:variant>
        <vt:i4>0</vt:i4>
      </vt:variant>
      <vt:variant>
        <vt:i4>5</vt:i4>
      </vt:variant>
      <vt:variant>
        <vt:lpwstr/>
      </vt:variant>
      <vt:variant>
        <vt:lpwstr>_[MATs_only]_Pooling</vt:lpwstr>
      </vt:variant>
      <vt:variant>
        <vt:i4>8257615</vt:i4>
      </vt:variant>
      <vt:variant>
        <vt:i4>21</vt:i4>
      </vt:variant>
      <vt:variant>
        <vt:i4>0</vt:i4>
      </vt:variant>
      <vt:variant>
        <vt:i4>5</vt:i4>
      </vt:variant>
      <vt:variant>
        <vt:lpwstr/>
      </vt:variant>
      <vt:variant>
        <vt:lpwstr>_Reporting</vt:lpwstr>
      </vt:variant>
      <vt:variant>
        <vt:i4>7274565</vt:i4>
      </vt:variant>
      <vt:variant>
        <vt:i4>18</vt:i4>
      </vt:variant>
      <vt:variant>
        <vt:i4>0</vt:i4>
      </vt:variant>
      <vt:variant>
        <vt:i4>5</vt:i4>
      </vt:variant>
      <vt:variant>
        <vt:lpwstr/>
      </vt:variant>
      <vt:variant>
        <vt:lpwstr>_Investment</vt:lpwstr>
      </vt:variant>
      <vt:variant>
        <vt:i4>5242951</vt:i4>
      </vt:variant>
      <vt:variant>
        <vt:i4>15</vt:i4>
      </vt:variant>
      <vt:variant>
        <vt:i4>0</vt:i4>
      </vt:variant>
      <vt:variant>
        <vt:i4>5</vt:i4>
      </vt:variant>
      <vt:variant>
        <vt:lpwstr/>
      </vt:variant>
      <vt:variant>
        <vt:lpwstr>_Managing_reserves</vt:lpwstr>
      </vt:variant>
      <vt:variant>
        <vt:i4>4325484</vt:i4>
      </vt:variant>
      <vt:variant>
        <vt:i4>12</vt:i4>
      </vt:variant>
      <vt:variant>
        <vt:i4>0</vt:i4>
      </vt:variant>
      <vt:variant>
        <vt:i4>5</vt:i4>
      </vt:variant>
      <vt:variant>
        <vt:lpwstr/>
      </vt:variant>
      <vt:variant>
        <vt:lpwstr>_Types_of_reserves</vt:lpwstr>
      </vt:variant>
      <vt:variant>
        <vt:i4>7733313</vt:i4>
      </vt:variant>
      <vt:variant>
        <vt:i4>9</vt:i4>
      </vt:variant>
      <vt:variant>
        <vt:i4>0</vt:i4>
      </vt:variant>
      <vt:variant>
        <vt:i4>5</vt:i4>
      </vt:variant>
      <vt:variant>
        <vt:lpwstr/>
      </vt:variant>
      <vt:variant>
        <vt:lpwstr>_The_purpose_of</vt:lpwstr>
      </vt:variant>
      <vt:variant>
        <vt:i4>6946880</vt:i4>
      </vt:variant>
      <vt:variant>
        <vt:i4>6</vt:i4>
      </vt:variant>
      <vt:variant>
        <vt:i4>0</vt:i4>
      </vt:variant>
      <vt:variant>
        <vt:i4>5</vt:i4>
      </vt:variant>
      <vt:variant>
        <vt:lpwstr/>
      </vt:variant>
      <vt:variant>
        <vt:lpwstr>_Roles_and_responsibilities</vt:lpwstr>
      </vt:variant>
      <vt:variant>
        <vt:i4>3145793</vt:i4>
      </vt:variant>
      <vt:variant>
        <vt:i4>3</vt:i4>
      </vt:variant>
      <vt:variant>
        <vt:i4>0</vt:i4>
      </vt:variant>
      <vt:variant>
        <vt:i4>5</vt:i4>
      </vt:variant>
      <vt:variant>
        <vt:lpwstr/>
      </vt:variant>
      <vt:variant>
        <vt:lpwstr>_Legal_framework_1</vt:lpwstr>
      </vt:variant>
      <vt:variant>
        <vt:i4>1572937</vt:i4>
      </vt:variant>
      <vt:variant>
        <vt:i4>0</vt:i4>
      </vt:variant>
      <vt:variant>
        <vt:i4>0</vt:i4>
      </vt:variant>
      <vt:variant>
        <vt:i4>5</vt:i4>
      </vt:variant>
      <vt:variant>
        <vt:lpwstr/>
      </vt:variant>
      <vt:variant>
        <vt:lpwstr>_Statement_of_intent_1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Ben Walker</cp:lastModifiedBy>
  <cp:revision>5</cp:revision>
  <dcterms:created xsi:type="dcterms:W3CDTF">2022-03-10T09:00:00Z</dcterms:created>
  <dcterms:modified xsi:type="dcterms:W3CDTF">2022-10-26T17:49:00Z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ies>
</file>